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0ECBA">
      <w:pPr>
        <w:autoSpaceDE w:val="0"/>
        <w:autoSpaceDN w:val="0"/>
        <w:spacing w:line="500" w:lineRule="atLeast"/>
        <w:jc w:val="distribute"/>
        <w:textAlignment w:val="bottom"/>
        <w:rPr>
          <w:rFonts w:hint="eastAsia" w:ascii="宋体" w:hAnsi="宋体"/>
          <w:b/>
          <w:bCs/>
          <w:color w:val="auto"/>
          <w:sz w:val="72"/>
          <w:szCs w:val="72"/>
          <w:highlight w:val="none"/>
        </w:rPr>
      </w:pPr>
    </w:p>
    <w:p w14:paraId="452CA1EC">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温州肯恩大学</w:t>
      </w:r>
    </w:p>
    <w:p w14:paraId="7F3C20B5">
      <w:pPr>
        <w:spacing w:line="400" w:lineRule="atLeast"/>
        <w:jc w:val="center"/>
        <w:rPr>
          <w:rFonts w:ascii="宋体" w:hAnsi="宋体"/>
          <w:b/>
          <w:color w:val="auto"/>
          <w:sz w:val="52"/>
          <w:highlight w:val="none"/>
        </w:rPr>
      </w:pPr>
    </w:p>
    <w:p w14:paraId="0FB038F5">
      <w:pPr>
        <w:spacing w:line="400" w:lineRule="atLeast"/>
        <w:jc w:val="center"/>
        <w:rPr>
          <w:rFonts w:ascii="宋体" w:hAnsi="宋体"/>
          <w:b/>
          <w:color w:val="auto"/>
          <w:sz w:val="52"/>
          <w:highlight w:val="none"/>
        </w:rPr>
      </w:pPr>
    </w:p>
    <w:p w14:paraId="756B7D29">
      <w:pPr>
        <w:spacing w:line="400" w:lineRule="atLeast"/>
        <w:jc w:val="center"/>
        <w:rPr>
          <w:rFonts w:ascii="宋体" w:hAnsi="宋体"/>
          <w:b/>
          <w:color w:val="auto"/>
          <w:sz w:val="52"/>
          <w:highlight w:val="none"/>
        </w:rPr>
      </w:pPr>
    </w:p>
    <w:p w14:paraId="5B060DA5">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3712B931">
      <w:pPr>
        <w:spacing w:line="400" w:lineRule="atLeast"/>
        <w:jc w:val="center"/>
        <w:rPr>
          <w:rFonts w:ascii="宋体" w:hAnsi="宋体"/>
          <w:b/>
          <w:color w:val="auto"/>
          <w:sz w:val="32"/>
          <w:highlight w:val="none"/>
        </w:rPr>
      </w:pPr>
    </w:p>
    <w:p w14:paraId="722CBB0B">
      <w:pPr>
        <w:jc w:val="center"/>
        <w:rPr>
          <w:rFonts w:ascii="宋体" w:hAnsi="宋体"/>
          <w:b/>
          <w:bCs/>
          <w:color w:val="auto"/>
          <w:sz w:val="24"/>
          <w:highlight w:val="none"/>
        </w:rPr>
      </w:pPr>
    </w:p>
    <w:p w14:paraId="2F9F258E">
      <w:pPr>
        <w:jc w:val="center"/>
        <w:rPr>
          <w:rFonts w:ascii="宋体" w:hAnsi="宋体"/>
          <w:b/>
          <w:bCs/>
          <w:color w:val="auto"/>
          <w:sz w:val="24"/>
          <w:highlight w:val="none"/>
        </w:rPr>
      </w:pPr>
    </w:p>
    <w:p w14:paraId="53348314">
      <w:pPr>
        <w:tabs>
          <w:tab w:val="left" w:pos="4860"/>
        </w:tabs>
        <w:spacing w:line="600" w:lineRule="exact"/>
        <w:ind w:right="1143"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WZYX-W2024071302</w:t>
      </w:r>
    </w:p>
    <w:p w14:paraId="7ABD97C0">
      <w:pPr>
        <w:tabs>
          <w:tab w:val="left" w:pos="5245"/>
          <w:tab w:val="left" w:pos="9660"/>
        </w:tabs>
        <w:spacing w:line="600" w:lineRule="exact"/>
        <w:ind w:left="4006" w:leftChars="706" w:right="-22" w:hanging="2523" w:hangingChars="66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2024年教室改造设备采购</w:t>
      </w:r>
    </w:p>
    <w:p w14:paraId="4070385E">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 开 招 标</w:t>
      </w:r>
    </w:p>
    <w:p w14:paraId="3ADCC755">
      <w:pPr>
        <w:jc w:val="center"/>
        <w:rPr>
          <w:rFonts w:ascii="宋体" w:hAnsi="宋体"/>
          <w:b/>
          <w:bCs/>
          <w:color w:val="auto"/>
          <w:sz w:val="24"/>
          <w:highlight w:val="none"/>
        </w:rPr>
      </w:pPr>
    </w:p>
    <w:p w14:paraId="69F4E809">
      <w:pPr>
        <w:jc w:val="center"/>
        <w:rPr>
          <w:rFonts w:ascii="宋体" w:hAnsi="宋体"/>
          <w:b/>
          <w:bCs/>
          <w:color w:val="auto"/>
          <w:sz w:val="24"/>
          <w:highlight w:val="none"/>
        </w:rPr>
      </w:pPr>
    </w:p>
    <w:p w14:paraId="75B7F418">
      <w:pPr>
        <w:jc w:val="center"/>
        <w:rPr>
          <w:rFonts w:ascii="宋体" w:hAnsi="宋体"/>
          <w:b/>
          <w:bCs/>
          <w:color w:val="auto"/>
          <w:sz w:val="24"/>
          <w:highlight w:val="none"/>
        </w:rPr>
      </w:pPr>
    </w:p>
    <w:p w14:paraId="70FABF14">
      <w:pPr>
        <w:jc w:val="center"/>
        <w:rPr>
          <w:rFonts w:ascii="宋体" w:hAnsi="宋体"/>
          <w:b/>
          <w:bCs/>
          <w:color w:val="auto"/>
          <w:sz w:val="24"/>
          <w:highlight w:val="none"/>
        </w:rPr>
      </w:pPr>
      <w:bookmarkStart w:id="237" w:name="_GoBack"/>
      <w:bookmarkEnd w:id="237"/>
    </w:p>
    <w:p w14:paraId="357D8FE4">
      <w:pPr>
        <w:jc w:val="center"/>
        <w:rPr>
          <w:rFonts w:ascii="宋体" w:hAnsi="宋体"/>
          <w:b/>
          <w:bCs/>
          <w:color w:val="auto"/>
          <w:sz w:val="24"/>
          <w:highlight w:val="none"/>
        </w:rPr>
      </w:pPr>
    </w:p>
    <w:p w14:paraId="2D3A099D">
      <w:pPr>
        <w:jc w:val="center"/>
        <w:rPr>
          <w:rFonts w:ascii="宋体" w:hAnsi="宋体"/>
          <w:b/>
          <w:bCs/>
          <w:color w:val="auto"/>
          <w:sz w:val="24"/>
          <w:highlight w:val="none"/>
        </w:rPr>
      </w:pPr>
    </w:p>
    <w:p w14:paraId="109D8A94">
      <w:pPr>
        <w:jc w:val="center"/>
        <w:rPr>
          <w:rFonts w:ascii="宋体" w:hAnsi="宋体"/>
          <w:b/>
          <w:bCs/>
          <w:color w:val="auto"/>
          <w:sz w:val="24"/>
          <w:highlight w:val="none"/>
        </w:rPr>
      </w:pPr>
    </w:p>
    <w:p w14:paraId="3EB35673">
      <w:pPr>
        <w:jc w:val="center"/>
        <w:rPr>
          <w:rFonts w:ascii="宋体" w:hAnsi="宋体"/>
          <w:b/>
          <w:bCs/>
          <w:color w:val="auto"/>
          <w:sz w:val="24"/>
          <w:highlight w:val="none"/>
        </w:rPr>
      </w:pPr>
    </w:p>
    <w:p w14:paraId="583326E6">
      <w:pPr>
        <w:jc w:val="center"/>
        <w:rPr>
          <w:rFonts w:ascii="宋体" w:hAnsi="宋体"/>
          <w:b/>
          <w:bCs/>
          <w:color w:val="auto"/>
          <w:sz w:val="24"/>
          <w:highlight w:val="none"/>
        </w:rPr>
      </w:pPr>
    </w:p>
    <w:p w14:paraId="3DB2DFA1">
      <w:pPr>
        <w:jc w:val="center"/>
        <w:rPr>
          <w:rFonts w:ascii="宋体" w:hAnsi="宋体"/>
          <w:b/>
          <w:bCs/>
          <w:color w:val="auto"/>
          <w:sz w:val="24"/>
          <w:highlight w:val="none"/>
        </w:rPr>
      </w:pPr>
    </w:p>
    <w:p w14:paraId="2418FC00">
      <w:pPr>
        <w:spacing w:line="600" w:lineRule="exact"/>
        <w:ind w:left="3277" w:leftChars="693" w:hanging="1822" w:hangingChars="605"/>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bCs/>
          <w:color w:val="auto"/>
          <w:sz w:val="30"/>
          <w:szCs w:val="30"/>
          <w:highlight w:val="none"/>
          <w:lang w:eastAsia="zh-CN"/>
        </w:rPr>
        <w:t>温州肯恩大学</w:t>
      </w:r>
    </w:p>
    <w:p w14:paraId="7BABE3DF">
      <w:pPr>
        <w:spacing w:line="600" w:lineRule="exact"/>
        <w:ind w:left="1482" w:leftChars="693" w:hanging="27" w:hangingChars="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14:paraId="2A13E247">
      <w:pPr>
        <w:spacing w:line="600" w:lineRule="exact"/>
        <w:ind w:left="2130" w:leftChars="1000" w:hanging="30" w:hangingChars="8"/>
        <w:rPr>
          <w:rFonts w:ascii="宋体" w:hAnsi="宋体"/>
          <w:b/>
          <w:color w:val="auto"/>
          <w:spacing w:val="40"/>
          <w:sz w:val="30"/>
          <w:szCs w:val="30"/>
          <w:highlight w:val="none"/>
        </w:rPr>
      </w:pPr>
    </w:p>
    <w:p w14:paraId="6FFBC7A8">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四</w:t>
      </w:r>
      <w:r>
        <w:rPr>
          <w:rFonts w:hint="eastAsia" w:ascii="宋体" w:hAnsi="宋体" w:cs="仿宋_GB2312"/>
          <w:b/>
          <w:color w:val="auto"/>
          <w:spacing w:val="40"/>
          <w:sz w:val="30"/>
          <w:szCs w:val="30"/>
          <w:highlight w:val="none"/>
        </w:rPr>
        <w:t>年</w:t>
      </w:r>
      <w:r>
        <w:rPr>
          <w:rFonts w:hint="eastAsia" w:ascii="宋体" w:hAnsi="宋体" w:cs="仿宋_GB2312"/>
          <w:b/>
          <w:color w:val="auto"/>
          <w:spacing w:val="40"/>
          <w:sz w:val="30"/>
          <w:szCs w:val="30"/>
          <w:highlight w:val="none"/>
          <w:lang w:val="en-US" w:eastAsia="zh-CN"/>
        </w:rPr>
        <w:t>八</w:t>
      </w:r>
      <w:r>
        <w:rPr>
          <w:rFonts w:hint="eastAsia" w:ascii="宋体" w:hAnsi="宋体" w:cs="仿宋_GB2312"/>
          <w:b/>
          <w:color w:val="auto"/>
          <w:spacing w:val="40"/>
          <w:sz w:val="30"/>
          <w:szCs w:val="30"/>
          <w:highlight w:val="none"/>
        </w:rPr>
        <w:t>月</w:t>
      </w:r>
    </w:p>
    <w:p w14:paraId="5945E3D7">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6D312349">
      <w:pPr>
        <w:spacing w:line="600" w:lineRule="exact"/>
        <w:jc w:val="center"/>
        <w:rPr>
          <w:rFonts w:ascii="宋体" w:hAnsi="宋体"/>
          <w:b/>
          <w:bCs/>
          <w:color w:val="auto"/>
          <w:sz w:val="24"/>
          <w:highlight w:val="none"/>
        </w:rPr>
      </w:pPr>
    </w:p>
    <w:p w14:paraId="5F444D4F">
      <w:pPr>
        <w:pStyle w:val="46"/>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color w:val="auto"/>
          <w:highlight w:val="none"/>
        </w:rPr>
        <w:fldChar w:fldCharType="begin"/>
      </w:r>
      <w:r>
        <w:rPr>
          <w:color w:val="auto"/>
          <w:highlight w:val="none"/>
        </w:rPr>
        <w:instrText xml:space="preserve"> HYPERLINK \l "_Toc9347" </w:instrText>
      </w:r>
      <w:r>
        <w:rPr>
          <w:color w:val="auto"/>
          <w:highlight w:val="none"/>
        </w:rPr>
        <w:fldChar w:fldCharType="separate"/>
      </w:r>
      <w:r>
        <w:rPr>
          <w:rFonts w:hint="eastAsia" w:ascii="宋体" w:hAnsi="宋体" w:eastAsia="宋体"/>
          <w:color w:val="auto"/>
          <w:szCs w:val="30"/>
          <w:highlight w:val="none"/>
        </w:rPr>
        <w:t>温州元信工程项目管理有限公司关于</w:t>
      </w:r>
      <w:r>
        <w:rPr>
          <w:rFonts w:hint="eastAsia" w:ascii="宋体" w:hAnsi="宋体" w:eastAsia="宋体"/>
          <w:color w:val="auto"/>
          <w:szCs w:val="30"/>
          <w:highlight w:val="none"/>
          <w:lang w:eastAsia="zh-CN"/>
        </w:rPr>
        <w:t>2024年教室改造设备采购</w:t>
      </w:r>
      <w:r>
        <w:rPr>
          <w:rFonts w:hint="eastAsia" w:ascii="宋体" w:hAnsi="宋体" w:eastAsia="宋体"/>
          <w:color w:val="auto"/>
          <w:szCs w:val="30"/>
          <w:highlight w:val="none"/>
        </w:rPr>
        <w:t>项目的公开招标公告</w:t>
      </w:r>
      <w:r>
        <w:rPr>
          <w:color w:val="auto"/>
          <w:highlight w:val="none"/>
        </w:rPr>
        <w:tab/>
      </w:r>
      <w:r>
        <w:rPr>
          <w:color w:val="auto"/>
          <w:highlight w:val="none"/>
        </w:rPr>
        <w:fldChar w:fldCharType="begin"/>
      </w:r>
      <w:r>
        <w:rPr>
          <w:color w:val="auto"/>
          <w:highlight w:val="none"/>
        </w:rPr>
        <w:instrText xml:space="preserve"> PAGEREF _Toc9347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376765D">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"_Toc30882" </w:instrText>
      </w:r>
      <w:r>
        <w:rPr>
          <w:color w:val="auto"/>
          <w:highlight w:val="none"/>
        </w:rPr>
        <w:fldChar w:fldCharType="separate"/>
      </w:r>
      <w:r>
        <w:rPr>
          <w:rFonts w:hint="eastAsia" w:ascii="宋体" w:hAnsi="宋体" w:eastAsia="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_Toc30882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2ABA1FE">
      <w:pPr>
        <w:pStyle w:val="46"/>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"_Toc22853" </w:instrText>
      </w:r>
      <w:r>
        <w:rPr>
          <w:color w:val="auto"/>
          <w:highlight w:val="none"/>
        </w:rPr>
        <w:fldChar w:fldCharType="separate"/>
      </w:r>
      <w:r>
        <w:rPr>
          <w:rFonts w:hint="eastAsia" w:ascii="宋体" w:hAnsi="宋体" w:eastAsia="宋体"/>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_Toc22853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3B5211D">
      <w:pPr>
        <w:pStyle w:val="46"/>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"_Toc12299" </w:instrText>
      </w:r>
      <w:r>
        <w:rPr>
          <w:color w:val="auto"/>
          <w:highlight w:val="none"/>
        </w:rPr>
        <w:fldChar w:fldCharType="separate"/>
      </w:r>
      <w:r>
        <w:rPr>
          <w:rFonts w:hint="eastAsia" w:ascii="宋体" w:hAnsi="宋体"/>
          <w:color w:val="auto"/>
          <w:szCs w:val="26"/>
          <w:highlight w:val="none"/>
        </w:rPr>
        <w:t>二、  说明</w:t>
      </w:r>
      <w:r>
        <w:rPr>
          <w:color w:val="auto"/>
          <w:highlight w:val="none"/>
        </w:rPr>
        <w:tab/>
      </w:r>
      <w:r>
        <w:rPr>
          <w:color w:val="auto"/>
          <w:highlight w:val="none"/>
        </w:rPr>
        <w:fldChar w:fldCharType="begin"/>
      </w:r>
      <w:r>
        <w:rPr>
          <w:color w:val="auto"/>
          <w:highlight w:val="none"/>
        </w:rPr>
        <w:instrText xml:space="preserve"> PAGEREF _Toc12299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06FCEBA">
      <w:pPr>
        <w:pStyle w:val="46"/>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"_Toc21146" </w:instrText>
      </w:r>
      <w:r>
        <w:rPr>
          <w:color w:val="auto"/>
          <w:highlight w:val="none"/>
        </w:rPr>
        <w:fldChar w:fldCharType="separate"/>
      </w:r>
      <w:r>
        <w:rPr>
          <w:rFonts w:hint="eastAsia" w:ascii="宋体" w:hAnsi="宋体"/>
          <w:color w:val="auto"/>
          <w:szCs w:val="26"/>
          <w:highlight w:val="none"/>
        </w:rPr>
        <w:t>三、 招标文件</w:t>
      </w:r>
      <w:r>
        <w:rPr>
          <w:color w:val="auto"/>
          <w:highlight w:val="none"/>
        </w:rPr>
        <w:tab/>
      </w:r>
      <w:r>
        <w:rPr>
          <w:color w:val="auto"/>
          <w:highlight w:val="none"/>
        </w:rPr>
        <w:fldChar w:fldCharType="begin"/>
      </w:r>
      <w:r>
        <w:rPr>
          <w:color w:val="auto"/>
          <w:highlight w:val="none"/>
        </w:rPr>
        <w:instrText xml:space="preserve"> PAGEREF _Toc21146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7EACCCF">
      <w:pPr>
        <w:pStyle w:val="46"/>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"_Toc889" </w:instrText>
      </w:r>
      <w:r>
        <w:rPr>
          <w:color w:val="auto"/>
          <w:highlight w:val="none"/>
        </w:rPr>
        <w:fldChar w:fldCharType="separate"/>
      </w:r>
      <w:r>
        <w:rPr>
          <w:rFonts w:hint="eastAsia" w:ascii="宋体" w:hAnsi="宋体"/>
          <w:color w:val="auto"/>
          <w:szCs w:val="26"/>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_Toc889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78746D0">
      <w:pPr>
        <w:pStyle w:val="46"/>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"_Toc16296" </w:instrText>
      </w:r>
      <w:r>
        <w:rPr>
          <w:color w:val="auto"/>
          <w:highlight w:val="none"/>
        </w:rPr>
        <w:fldChar w:fldCharType="separate"/>
      </w:r>
      <w:r>
        <w:rPr>
          <w:rFonts w:hint="eastAsia" w:ascii="宋体" w:hAnsi="宋体"/>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_Toc16296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0A5FE81">
      <w:pPr>
        <w:pStyle w:val="46"/>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"_Toc5474" </w:instrText>
      </w:r>
      <w:r>
        <w:rPr>
          <w:color w:val="auto"/>
          <w:highlight w:val="none"/>
        </w:rPr>
        <w:fldChar w:fldCharType="separate"/>
      </w:r>
      <w:r>
        <w:rPr>
          <w:rFonts w:hint="eastAsia" w:ascii="宋体" w:hAnsi="宋体"/>
          <w:color w:val="auto"/>
          <w:szCs w:val="26"/>
          <w:highlight w:val="none"/>
        </w:rPr>
        <w:t>六、 开标</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_Toc5474 \h </w:instrText>
      </w:r>
      <w:r>
        <w:rPr>
          <w:rFonts w:hint="eastAsia" w:ascii="宋体" w:hAnsi="宋体"/>
          <w:color w:val="auto"/>
          <w:szCs w:val="26"/>
          <w:highlight w:val="none"/>
        </w:rPr>
        <w:fldChar w:fldCharType="separate"/>
      </w:r>
      <w:r>
        <w:rPr>
          <w:rFonts w:hint="eastAsia" w:ascii="宋体" w:hAnsi="宋体"/>
          <w:color w:val="auto"/>
          <w:szCs w:val="26"/>
          <w:highlight w:val="none"/>
        </w:rPr>
        <w:t>14</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64664AD5">
      <w:pPr>
        <w:pStyle w:val="46"/>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hint="eastAsia" w:ascii="宋体" w:hAnsi="宋体"/>
          <w:color w:val="auto"/>
          <w:szCs w:val="26"/>
          <w:highlight w:val="none"/>
        </w:rPr>
        <w:t>七、 评标</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_Toc20819 \h </w:instrText>
      </w:r>
      <w:r>
        <w:rPr>
          <w:rFonts w:hint="eastAsia" w:ascii="宋体" w:hAnsi="宋体"/>
          <w:color w:val="auto"/>
          <w:szCs w:val="26"/>
          <w:highlight w:val="none"/>
        </w:rPr>
        <w:fldChar w:fldCharType="separate"/>
      </w:r>
      <w:r>
        <w:rPr>
          <w:rFonts w:hint="eastAsia" w:ascii="宋体" w:hAnsi="宋体"/>
          <w:color w:val="auto"/>
          <w:szCs w:val="26"/>
          <w:highlight w:val="none"/>
        </w:rPr>
        <w:t>14</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63426711">
      <w:pPr>
        <w:pStyle w:val="46"/>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"_Toc4694" </w:instrText>
      </w:r>
      <w:r>
        <w:rPr>
          <w:color w:val="auto"/>
          <w:highlight w:val="none"/>
        </w:rPr>
        <w:fldChar w:fldCharType="separate"/>
      </w:r>
      <w:r>
        <w:rPr>
          <w:rFonts w:hint="eastAsia" w:ascii="宋体" w:hAnsi="宋体"/>
          <w:color w:val="auto"/>
          <w:szCs w:val="26"/>
          <w:highlight w:val="none"/>
        </w:rPr>
        <w:t>八、 授予合同</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_Toc4694 \h </w:instrText>
      </w:r>
      <w:r>
        <w:rPr>
          <w:rFonts w:hint="eastAsia" w:ascii="宋体" w:hAnsi="宋体"/>
          <w:color w:val="auto"/>
          <w:szCs w:val="26"/>
          <w:highlight w:val="none"/>
        </w:rPr>
        <w:fldChar w:fldCharType="separate"/>
      </w:r>
      <w:r>
        <w:rPr>
          <w:rFonts w:hint="eastAsia" w:ascii="宋体" w:hAnsi="宋体"/>
          <w:color w:val="auto"/>
          <w:szCs w:val="26"/>
          <w:highlight w:val="none"/>
        </w:rPr>
        <w:t>17</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0709894B">
      <w:pPr>
        <w:pStyle w:val="46"/>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"_Toc11317" </w:instrText>
      </w:r>
      <w:r>
        <w:rPr>
          <w:color w:val="auto"/>
          <w:highlight w:val="none"/>
        </w:rPr>
        <w:fldChar w:fldCharType="separate"/>
      </w:r>
      <w:r>
        <w:rPr>
          <w:rFonts w:hint="eastAsia" w:ascii="宋体" w:hAnsi="宋体"/>
          <w:color w:val="auto"/>
          <w:szCs w:val="26"/>
          <w:highlight w:val="none"/>
        </w:rPr>
        <w:t>九、验收</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_Toc11317 \h </w:instrText>
      </w:r>
      <w:r>
        <w:rPr>
          <w:rFonts w:hint="eastAsia" w:ascii="宋体" w:hAnsi="宋体"/>
          <w:color w:val="auto"/>
          <w:szCs w:val="26"/>
          <w:highlight w:val="none"/>
        </w:rPr>
        <w:fldChar w:fldCharType="separate"/>
      </w:r>
      <w:r>
        <w:rPr>
          <w:rFonts w:hint="eastAsia" w:ascii="宋体" w:hAnsi="宋体"/>
          <w:color w:val="auto"/>
          <w:szCs w:val="26"/>
          <w:highlight w:val="none"/>
        </w:rPr>
        <w:t>18</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74F2AE21">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"_Toc21905" </w:instrText>
      </w:r>
      <w:r>
        <w:rPr>
          <w:color w:val="auto"/>
          <w:highlight w:val="none"/>
        </w:rPr>
        <w:fldChar w:fldCharType="separate"/>
      </w:r>
      <w:r>
        <w:rPr>
          <w:rFonts w:hint="eastAsia" w:ascii="宋体" w:hAnsi="宋体" w:eastAsia="宋体" w:cs="宋体"/>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_Toc21905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73BB4B1">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"_Toc2947" </w:instrText>
      </w:r>
      <w:r>
        <w:rPr>
          <w:color w:val="auto"/>
          <w:highlight w:val="none"/>
        </w:rPr>
        <w:fldChar w:fldCharType="separate"/>
      </w:r>
      <w:r>
        <w:rPr>
          <w:rFonts w:hint="eastAsia" w:ascii="宋体" w:hAnsi="宋体" w:eastAsia="宋体"/>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_Toc2947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7C5A11F">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"_Toc20174" </w:instrText>
      </w:r>
      <w:r>
        <w:rPr>
          <w:color w:val="auto"/>
          <w:highlight w:val="none"/>
        </w:rPr>
        <w:fldChar w:fldCharType="separate"/>
      </w:r>
      <w:r>
        <w:rPr>
          <w:rFonts w:hint="eastAsia" w:ascii="宋体" w:hAnsi="宋体" w:eastAsia="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_Toc20174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0B2E897">
      <w:pPr>
        <w:pStyle w:val="46"/>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"_Toc9209" </w:instrText>
      </w:r>
      <w:r>
        <w:rPr>
          <w:color w:val="auto"/>
          <w:highlight w:val="none"/>
        </w:rPr>
        <w:fldChar w:fldCharType="separate"/>
      </w:r>
      <w:r>
        <w:rPr>
          <w:rFonts w:hint="eastAsia" w:ascii="宋体" w:hAnsi="宋体" w:eastAsia="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_Toc9209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B8AD269">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06B886A8">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788398DD">
      <w:pPr>
        <w:widowControl/>
        <w:jc w:val="left"/>
        <w:rPr>
          <w:rFonts w:ascii="宋体" w:hAnsi="宋体"/>
          <w:b/>
          <w:bCs/>
          <w:color w:val="auto"/>
          <w:highlight w:val="none"/>
        </w:rPr>
      </w:pPr>
      <w:r>
        <w:rPr>
          <w:rFonts w:ascii="宋体" w:hAnsi="宋体"/>
          <w:color w:val="auto"/>
          <w:highlight w:val="none"/>
        </w:rPr>
        <w:br w:type="page"/>
      </w:r>
    </w:p>
    <w:p w14:paraId="2D9A8E6F">
      <w:pPr>
        <w:pStyle w:val="3"/>
        <w:rPr>
          <w:rFonts w:ascii="宋体" w:hAnsi="宋体" w:eastAsia="宋体" w:cs="Arial"/>
          <w:b w:val="0"/>
          <w:bCs w:val="0"/>
          <w:color w:val="auto"/>
          <w:kern w:val="0"/>
          <w:sz w:val="30"/>
          <w:szCs w:val="30"/>
          <w:highlight w:val="none"/>
        </w:rPr>
      </w:pPr>
      <w:bookmarkStart w:id="0" w:name="_Toc492496682"/>
      <w:bookmarkStart w:id="1" w:name="_Toc398293639"/>
      <w:bookmarkStart w:id="2" w:name="_Toc9347"/>
      <w:bookmarkStart w:id="3" w:name="_Toc221374621"/>
      <w:bookmarkStart w:id="4" w:name="_Toc249758859"/>
      <w:bookmarkStart w:id="5" w:name="_Toc262105498"/>
      <w:bookmarkStart w:id="6" w:name="_Toc348800908"/>
      <w:bookmarkStart w:id="7" w:name="_Toc221423614"/>
      <w:bookmarkStart w:id="8" w:name="_Toc222114873"/>
      <w:bookmarkStart w:id="9" w:name="_Toc337660883"/>
      <w:bookmarkStart w:id="10" w:name="_Toc221423613"/>
      <w:bookmarkStart w:id="11" w:name="_Toc245191309"/>
      <w:bookmarkStart w:id="12" w:name="_Toc222114874"/>
      <w:bookmarkStart w:id="13" w:name="_Toc223715992"/>
      <w:bookmarkStart w:id="14" w:name="_Toc262049413"/>
      <w:bookmarkStart w:id="15" w:name="_Toc221356880"/>
      <w:bookmarkStart w:id="16" w:name="_Toc245722276"/>
      <w:bookmarkStart w:id="17" w:name="_Toc246261260"/>
      <w:bookmarkStart w:id="18" w:name="_Toc221356945"/>
      <w:bookmarkStart w:id="19" w:name="_Toc249758707"/>
      <w:bookmarkStart w:id="20" w:name="_Toc223715993"/>
      <w:bookmarkStart w:id="21" w:name="_Toc221356881"/>
      <w:bookmarkStart w:id="22" w:name="_Toc221356946"/>
      <w:bookmarkStart w:id="23" w:name="_Toc221374620"/>
      <w:bookmarkStart w:id="24" w:name="_Toc241404197"/>
      <w:bookmarkStart w:id="25" w:name="_Toc239145349"/>
      <w:r>
        <w:rPr>
          <w:rFonts w:hint="eastAsia" w:ascii="宋体" w:hAnsi="宋体" w:eastAsia="宋体" w:cs="Arial"/>
          <w:color w:val="auto"/>
          <w:sz w:val="30"/>
          <w:szCs w:val="30"/>
          <w:highlight w:val="none"/>
        </w:rPr>
        <w:t>温州元信工程项目管理有限公司关于</w:t>
      </w:r>
      <w:r>
        <w:rPr>
          <w:rFonts w:hint="eastAsia" w:ascii="宋体" w:hAnsi="宋体" w:eastAsia="宋体" w:cs="Arial"/>
          <w:color w:val="auto"/>
          <w:sz w:val="30"/>
          <w:szCs w:val="30"/>
          <w:highlight w:val="none"/>
          <w:lang w:eastAsia="zh-CN"/>
        </w:rPr>
        <w:t>2024年教室改造设备采购</w:t>
      </w:r>
      <w:r>
        <w:rPr>
          <w:rFonts w:hint="eastAsia" w:ascii="宋体" w:hAnsi="宋体" w:eastAsia="宋体" w:cs="Arial"/>
          <w:color w:val="auto"/>
          <w:sz w:val="30"/>
          <w:szCs w:val="30"/>
          <w:highlight w:val="none"/>
        </w:rPr>
        <w:t>项目的公开招标公告</w:t>
      </w:r>
      <w:bookmarkEnd w:id="0"/>
      <w:bookmarkEnd w:id="1"/>
      <w:bookmarkEnd w:id="2"/>
    </w:p>
    <w:p w14:paraId="68518515">
      <w:pPr>
        <w:widowControl/>
        <w:spacing w:before="60" w:after="60" w:line="360" w:lineRule="exact"/>
        <w:ind w:right="60" w:firstLine="440"/>
        <w:jc w:val="left"/>
        <w:rPr>
          <w:rFonts w:hint="eastAsia" w:ascii="宋体" w:hAnsi="宋体" w:cs="宋体"/>
          <w:color w:val="auto"/>
          <w:kern w:val="0"/>
          <w:sz w:val="22"/>
          <w:szCs w:val="22"/>
          <w:highlight w:val="none"/>
        </w:rPr>
      </w:pPr>
    </w:p>
    <w:p w14:paraId="226B93C5">
      <w:pPr>
        <w:widowControl/>
        <w:spacing w:before="60" w:after="60" w:line="400" w:lineRule="exact"/>
        <w:ind w:left="61" w:leftChars="29" w:right="60" w:firstLine="440" w:firstLineChars="200"/>
        <w:jc w:val="left"/>
        <w:rPr>
          <w:rFonts w:ascii="宋体" w:hAnsi="宋体" w:cs="hakuyoxingshu7000"/>
          <w:color w:val="auto"/>
          <w:kern w:val="0"/>
          <w:sz w:val="22"/>
          <w:szCs w:val="22"/>
        </w:rPr>
      </w:pPr>
      <w:r>
        <w:rPr>
          <w:rFonts w:hint="eastAsia" w:ascii="宋体" w:hAnsi="宋体" w:cs="hakuyoxingshu7000"/>
          <w:color w:val="auto"/>
          <w:kern w:val="0"/>
          <w:sz w:val="22"/>
          <w:szCs w:val="22"/>
        </w:rPr>
        <w:t>温州元信工程项目管理有限公司受温州肯恩大学委托，就</w:t>
      </w:r>
      <w:r>
        <w:rPr>
          <w:rFonts w:hint="eastAsia" w:ascii="宋体" w:hAnsi="宋体" w:cs="hakuyoxingshu7000"/>
          <w:color w:val="auto"/>
          <w:kern w:val="0"/>
          <w:sz w:val="22"/>
          <w:szCs w:val="22"/>
          <w:lang w:eastAsia="zh-CN"/>
        </w:rPr>
        <w:t>2024年教室改造设备采购</w:t>
      </w:r>
      <w:r>
        <w:rPr>
          <w:rFonts w:hint="eastAsia" w:ascii="宋体" w:hAnsi="宋体" w:cs="hakuyoxingshu7000"/>
          <w:color w:val="auto"/>
          <w:kern w:val="0"/>
          <w:sz w:val="22"/>
          <w:szCs w:val="22"/>
        </w:rPr>
        <w:t>以</w:t>
      </w:r>
      <w:r>
        <w:rPr>
          <w:rFonts w:hint="eastAsia" w:ascii="宋体" w:hAnsi="宋体" w:cs="hakuyoxingshu7000"/>
          <w:color w:val="auto"/>
          <w:kern w:val="0"/>
          <w:sz w:val="22"/>
          <w:szCs w:val="22"/>
          <w:lang w:eastAsia="zh-CN"/>
        </w:rPr>
        <w:t>公开招标</w:t>
      </w:r>
      <w:r>
        <w:rPr>
          <w:rFonts w:hint="eastAsia" w:ascii="宋体" w:hAnsi="宋体" w:cs="hakuyoxingshu7000"/>
          <w:color w:val="auto"/>
          <w:kern w:val="0"/>
          <w:sz w:val="22"/>
          <w:szCs w:val="22"/>
        </w:rPr>
        <w:t>方式进行采购，欢迎国内合格的投标人前来投标。</w:t>
      </w:r>
    </w:p>
    <w:p w14:paraId="1A1132EA">
      <w:pPr>
        <w:pStyle w:val="121"/>
        <w:widowControl/>
        <w:numPr>
          <w:ilvl w:val="0"/>
          <w:numId w:val="1"/>
        </w:numPr>
        <w:spacing w:before="60" w:after="60" w:line="400" w:lineRule="exact"/>
        <w:ind w:right="60" w:firstLineChars="0"/>
        <w:jc w:val="left"/>
        <w:rPr>
          <w:rFonts w:ascii="宋体" w:hAnsi="宋体" w:cs="hakuyoxingshu7000"/>
          <w:bCs/>
          <w:color w:val="auto"/>
          <w:kern w:val="0"/>
          <w:sz w:val="22"/>
          <w:szCs w:val="22"/>
          <w:highlight w:val="none"/>
        </w:rPr>
      </w:pPr>
      <w:r>
        <w:rPr>
          <w:rFonts w:hint="eastAsia" w:ascii="宋体" w:hAnsi="宋体" w:cs="hakuyoxingshu7000"/>
          <w:b/>
          <w:bCs/>
          <w:color w:val="auto"/>
          <w:kern w:val="0"/>
          <w:sz w:val="22"/>
          <w:szCs w:val="22"/>
        </w:rPr>
        <w:t>招标编号:</w:t>
      </w:r>
      <w:r>
        <w:rPr>
          <w:rFonts w:hint="eastAsia" w:ascii="宋体" w:hAnsi="宋体" w:cs="hakuyoxingshu7000"/>
          <w:bCs/>
          <w:color w:val="auto"/>
          <w:kern w:val="0"/>
          <w:sz w:val="22"/>
          <w:szCs w:val="22"/>
        </w:rPr>
        <w:t xml:space="preserve"> </w:t>
      </w:r>
      <w:r>
        <w:rPr>
          <w:rFonts w:hint="eastAsia" w:ascii="宋体" w:hAnsi="宋体" w:cs="hakuyoxingshu7000"/>
          <w:bCs/>
          <w:color w:val="auto"/>
          <w:kern w:val="0"/>
          <w:sz w:val="22"/>
          <w:szCs w:val="22"/>
          <w:lang w:eastAsia="zh-CN"/>
        </w:rPr>
        <w:t>WZYX-W2024071302</w:t>
      </w:r>
    </w:p>
    <w:p w14:paraId="25D44514">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采购类型：</w:t>
      </w:r>
      <w:r>
        <w:rPr>
          <w:rFonts w:hint="eastAsia" w:ascii="宋体" w:hAnsi="宋体" w:cs="hakuyoxingshu7000"/>
          <w:bCs/>
          <w:color w:val="auto"/>
          <w:kern w:val="0"/>
          <w:sz w:val="22"/>
          <w:szCs w:val="22"/>
          <w:highlight w:val="none"/>
        </w:rPr>
        <w:t>自行采购（非政府采购，委托代理）</w:t>
      </w:r>
    </w:p>
    <w:p w14:paraId="2FF15D04">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项目概况（内容、</w:t>
      </w:r>
      <w:r>
        <w:rPr>
          <w:rFonts w:hint="eastAsia" w:ascii="宋体" w:hAnsi="宋体" w:cs="hakuyoxingshu7000"/>
          <w:b/>
          <w:bCs/>
          <w:color w:val="auto"/>
          <w:kern w:val="0"/>
          <w:sz w:val="22"/>
          <w:szCs w:val="22"/>
          <w:highlight w:val="none"/>
        </w:rPr>
        <w:t>用途、数量、简要技术要求等）：</w:t>
      </w:r>
    </w:p>
    <w:p w14:paraId="7A53DD36">
      <w:pPr>
        <w:widowControl/>
        <w:spacing w:before="60" w:after="60" w:line="360" w:lineRule="exact"/>
        <w:ind w:left="60" w:right="60" w:firstLine="444"/>
        <w:jc w:val="left"/>
        <w:rPr>
          <w:rFonts w:ascii="宋体" w:hAnsi="宋体" w:cs="宋体"/>
          <w:bCs/>
          <w:color w:val="auto"/>
          <w:kern w:val="0"/>
          <w:sz w:val="22"/>
          <w:szCs w:val="22"/>
          <w:highlight w:val="none"/>
        </w:rPr>
      </w:pPr>
      <w:bookmarkStart w:id="26" w:name="B09_招标内容"/>
      <w:bookmarkEnd w:id="26"/>
      <w:r>
        <w:rPr>
          <w:rFonts w:hint="eastAsia" w:ascii="宋体" w:hAnsi="宋体" w:cs="宋体"/>
          <w:bCs/>
          <w:color w:val="auto"/>
          <w:kern w:val="0"/>
          <w:sz w:val="22"/>
          <w:szCs w:val="22"/>
          <w:highlight w:val="none"/>
        </w:rPr>
        <w:t>项目内容：</w:t>
      </w:r>
      <w:r>
        <w:rPr>
          <w:rFonts w:hint="eastAsia" w:ascii="宋体" w:hAnsi="宋体" w:cs="宋体"/>
          <w:bCs/>
          <w:color w:val="auto"/>
          <w:kern w:val="0"/>
          <w:sz w:val="22"/>
          <w:szCs w:val="22"/>
          <w:highlight w:val="none"/>
          <w:lang w:eastAsia="zh-CN"/>
        </w:rPr>
        <w:t>2024年教室改造设备采购</w:t>
      </w:r>
      <w:r>
        <w:rPr>
          <w:rFonts w:hint="eastAsia" w:ascii="宋体" w:hAnsi="宋体" w:cs="宋体"/>
          <w:bCs/>
          <w:color w:val="auto"/>
          <w:kern w:val="0"/>
          <w:sz w:val="22"/>
          <w:szCs w:val="22"/>
          <w:highlight w:val="none"/>
        </w:rPr>
        <w:t>，详见招标文件招标内容及要求相关部分。</w:t>
      </w:r>
    </w:p>
    <w:p w14:paraId="4FFF9F41">
      <w:pPr>
        <w:widowControl/>
        <w:spacing w:before="60" w:after="60" w:line="360" w:lineRule="exact"/>
        <w:ind w:left="60" w:right="60" w:firstLine="444"/>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采购</w:t>
      </w:r>
      <w:r>
        <w:rPr>
          <w:rFonts w:hint="eastAsia" w:ascii="宋体" w:hAnsi="宋体" w:cs="宋体"/>
          <w:bCs/>
          <w:color w:val="auto"/>
          <w:kern w:val="0"/>
          <w:sz w:val="22"/>
          <w:szCs w:val="22"/>
          <w:highlight w:val="none"/>
        </w:rPr>
        <w:t>预算</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en-US" w:eastAsia="zh-CN"/>
        </w:rPr>
        <w:t xml:space="preserve"> 109.398</w:t>
      </w:r>
      <w:r>
        <w:rPr>
          <w:rFonts w:hint="eastAsia" w:ascii="宋体" w:hAnsi="宋体" w:cs="宋体"/>
          <w:bCs/>
          <w:color w:val="auto"/>
          <w:kern w:val="0"/>
          <w:sz w:val="22"/>
          <w:szCs w:val="22"/>
          <w:highlight w:val="none"/>
        </w:rPr>
        <w:t>万元。</w:t>
      </w:r>
    </w:p>
    <w:p w14:paraId="5A88F1F6">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投标人资格要求：</w:t>
      </w:r>
    </w:p>
    <w:p w14:paraId="53A77EB0">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14:paraId="05C99DE6">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（2）单位负责人为同一人或者存在直接控股、管理关系的不同投标人，不得参加同一合同项下的采购活动；</w:t>
      </w:r>
    </w:p>
    <w:p w14:paraId="08AE5424">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（3）落实政府采购政策需满足的</w:t>
      </w:r>
      <w:r>
        <w:rPr>
          <w:rFonts w:hint="eastAsia" w:ascii="宋体" w:hAnsi="宋体" w:cs="hakuyoxingshu7000"/>
          <w:bCs/>
          <w:color w:val="auto"/>
          <w:kern w:val="0"/>
          <w:sz w:val="22"/>
          <w:szCs w:val="22"/>
          <w:highlight w:val="none"/>
        </w:rPr>
        <w:t>资格要求：</w:t>
      </w:r>
      <w:r>
        <w:rPr>
          <w:rFonts w:hint="eastAsia" w:ascii="宋体" w:hAnsi="宋体" w:cs="hakuyoxingshu7000"/>
          <w:bCs/>
          <w:color w:val="auto"/>
          <w:kern w:val="0"/>
          <w:sz w:val="22"/>
          <w:szCs w:val="22"/>
          <w:highlight w:val="none"/>
          <w:lang w:val="en-US" w:eastAsia="zh-CN"/>
        </w:rPr>
        <w:t>无</w:t>
      </w:r>
      <w:r>
        <w:rPr>
          <w:rFonts w:hint="eastAsia" w:ascii="宋体" w:hAnsi="宋体" w:cs="hakuyoxingshu7000"/>
          <w:bCs/>
          <w:color w:val="auto"/>
          <w:kern w:val="0"/>
          <w:sz w:val="22"/>
          <w:szCs w:val="22"/>
          <w:highlight w:val="none"/>
        </w:rPr>
        <w:t>；</w:t>
      </w:r>
    </w:p>
    <w:p w14:paraId="6A553A91">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（4）本项目接受联合体投标。</w:t>
      </w:r>
    </w:p>
    <w:p w14:paraId="6D041239">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报名方式、时间及地址、招标文件发售：</w:t>
      </w:r>
    </w:p>
    <w:p w14:paraId="0F5CB542">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1、报名方式：现场至代</w:t>
      </w:r>
      <w:r>
        <w:rPr>
          <w:rFonts w:hint="eastAsia" w:ascii="宋体" w:hAnsi="宋体" w:cs="宋体"/>
          <w:bCs/>
          <w:color w:val="auto"/>
          <w:kern w:val="0"/>
          <w:sz w:val="22"/>
          <w:szCs w:val="22"/>
          <w:highlight w:val="none"/>
        </w:rPr>
        <w:t>理公司报名或线上报名；</w:t>
      </w:r>
    </w:p>
    <w:p w14:paraId="72E14A1A">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2、报名时间：</w:t>
      </w:r>
      <w:r>
        <w:rPr>
          <w:rFonts w:hint="eastAsia" w:ascii="宋体" w:hAnsi="宋体" w:cs="宋体"/>
          <w:color w:val="auto"/>
          <w:sz w:val="22"/>
          <w:szCs w:val="22"/>
          <w:highlight w:val="none"/>
        </w:rPr>
        <w:t>本公告发布之日起至2024年</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日之前</w:t>
      </w:r>
      <w:r>
        <w:rPr>
          <w:rFonts w:hint="eastAsia" w:ascii="宋体" w:hAnsi="宋体" w:cs="宋体"/>
          <w:bCs/>
          <w:color w:val="auto"/>
          <w:kern w:val="0"/>
          <w:sz w:val="22"/>
          <w:szCs w:val="22"/>
          <w:highlight w:val="none"/>
        </w:rPr>
        <w:t>（未购买</w:t>
      </w:r>
      <w:r>
        <w:rPr>
          <w:rFonts w:hint="eastAsia" w:ascii="宋体" w:hAnsi="宋体" w:cs="宋体"/>
          <w:bCs/>
          <w:color w:val="auto"/>
          <w:kern w:val="0"/>
          <w:sz w:val="22"/>
          <w:szCs w:val="22"/>
          <w:highlight w:val="none"/>
        </w:rPr>
        <w:t>招标文件的潜在投标人拒绝参加投标。投标人如对招标文件有异议应按招标文件规定的时间提出，逾期提出的，招标组织机构可不予受理、答复。）；</w:t>
      </w:r>
    </w:p>
    <w:p w14:paraId="79170BC6">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3、报名地址：温州市新桥街道牛山广场3号楼1905室；</w:t>
      </w:r>
    </w:p>
    <w:p w14:paraId="3111E8BC">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4、投标人请在购买招标文件时携带报名资料复印件一份交于招标代理机构或将电子版报名资料发送至邮箱yxgc666@126.com。</w:t>
      </w:r>
    </w:p>
    <w:p w14:paraId="2982254D">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5、招标文件售价：0元</w:t>
      </w:r>
    </w:p>
    <w:p w14:paraId="77C7DF88">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投标时间及地点</w:t>
      </w:r>
    </w:p>
    <w:p w14:paraId="68ACC8DE">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投标截止时间：</w:t>
      </w:r>
      <w:bookmarkStart w:id="27" w:name="B23_谈判响应文件提交截止日期"/>
      <w:bookmarkEnd w:id="27"/>
      <w:r>
        <w:rPr>
          <w:rFonts w:hint="eastAsia" w:ascii="宋体" w:hAnsi="宋体" w:cs="宋体"/>
          <w:bCs/>
          <w:color w:val="auto"/>
          <w:kern w:val="0"/>
          <w:sz w:val="22"/>
          <w:szCs w:val="22"/>
          <w:highlight w:val="none"/>
        </w:rPr>
        <w:t>2024年</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2</w:t>
      </w:r>
      <w:r>
        <w:rPr>
          <w:rFonts w:hint="eastAsia" w:ascii="宋体" w:hAnsi="宋体" w:cs="宋体"/>
          <w:bCs/>
          <w:color w:val="auto"/>
          <w:kern w:val="0"/>
          <w:sz w:val="22"/>
          <w:szCs w:val="22"/>
          <w:highlight w:val="none"/>
        </w:rPr>
        <w:t>日</w:t>
      </w:r>
      <w:r>
        <w:rPr>
          <w:rFonts w:hint="eastAsia" w:ascii="宋体" w:hAnsi="宋体" w:cs="宋体"/>
          <w:bCs/>
          <w:color w:val="auto"/>
          <w:kern w:val="0"/>
          <w:sz w:val="22"/>
          <w:szCs w:val="22"/>
          <w:highlight w:val="none"/>
          <w:lang w:val="en-US" w:eastAsia="zh-CN"/>
        </w:rPr>
        <w:t>14</w:t>
      </w:r>
      <w:r>
        <w:rPr>
          <w:rFonts w:hint="eastAsia" w:ascii="宋体" w:hAnsi="宋体" w:cs="宋体"/>
          <w:bCs/>
          <w:color w:val="auto"/>
          <w:kern w:val="0"/>
          <w:sz w:val="22"/>
          <w:szCs w:val="22"/>
          <w:highlight w:val="none"/>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rPr>
        <w:t>分整。</w:t>
      </w:r>
    </w:p>
    <w:p w14:paraId="2D35463F">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投标文件递交地点：温州元信工程项目管理有限公司会议室（温州市新桥街道牛山广场3号楼1905室）。</w:t>
      </w:r>
    </w:p>
    <w:p w14:paraId="41920AC4">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开标时间：</w:t>
      </w:r>
      <w:bookmarkStart w:id="28" w:name="B26_谈判时间日期"/>
      <w:bookmarkEnd w:id="28"/>
      <w:r>
        <w:rPr>
          <w:rFonts w:hint="eastAsia" w:ascii="宋体" w:hAnsi="宋体" w:cs="宋体"/>
          <w:bCs/>
          <w:color w:val="auto"/>
          <w:kern w:val="0"/>
          <w:sz w:val="22"/>
          <w:szCs w:val="22"/>
          <w:highlight w:val="none"/>
        </w:rPr>
        <w:t>2024年</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 xml:space="preserve">2 </w:t>
      </w:r>
      <w:r>
        <w:rPr>
          <w:rFonts w:hint="eastAsia" w:ascii="宋体" w:hAnsi="宋体" w:cs="宋体"/>
          <w:bCs/>
          <w:color w:val="auto"/>
          <w:kern w:val="0"/>
          <w:sz w:val="22"/>
          <w:szCs w:val="22"/>
          <w:highlight w:val="none"/>
        </w:rPr>
        <w:t>日</w:t>
      </w:r>
      <w:r>
        <w:rPr>
          <w:rFonts w:hint="eastAsia" w:ascii="宋体" w:hAnsi="宋体" w:cs="宋体"/>
          <w:bCs/>
          <w:color w:val="auto"/>
          <w:kern w:val="0"/>
          <w:sz w:val="22"/>
          <w:szCs w:val="22"/>
          <w:highlight w:val="none"/>
          <w:lang w:val="en-US" w:eastAsia="zh-CN"/>
        </w:rPr>
        <w:t>14</w:t>
      </w:r>
      <w:r>
        <w:rPr>
          <w:rFonts w:hint="eastAsia" w:ascii="宋体" w:hAnsi="宋体" w:cs="宋体"/>
          <w:bCs/>
          <w:color w:val="auto"/>
          <w:kern w:val="0"/>
          <w:sz w:val="22"/>
          <w:szCs w:val="22"/>
          <w:highlight w:val="none"/>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rPr>
        <w:t>分整。</w:t>
      </w:r>
    </w:p>
    <w:p w14:paraId="1575BF0F">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开标地点：温州元信工程项目管理有限公司会议室（温州市新桥街道牛山广场3号楼1905室）。</w:t>
      </w:r>
    </w:p>
    <w:p w14:paraId="52EAC4F1">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投标保证金及交付方式：</w:t>
      </w:r>
    </w:p>
    <w:p w14:paraId="298F2656">
      <w:pPr>
        <w:widowControl/>
        <w:spacing w:before="60" w:after="60" w:line="340" w:lineRule="exact"/>
        <w:ind w:left="424" w:leftChars="202" w:right="60"/>
        <w:jc w:val="left"/>
        <w:rPr>
          <w:rFonts w:ascii="宋体" w:hAnsi="宋体" w:cs="hakuyoxingshu7000"/>
          <w:bCs/>
          <w:color w:val="auto"/>
          <w:kern w:val="0"/>
          <w:sz w:val="22"/>
          <w:szCs w:val="22"/>
          <w:highlight w:val="none"/>
        </w:rPr>
      </w:pPr>
      <w:bookmarkStart w:id="29" w:name="B29_谈判保证金"/>
      <w:bookmarkEnd w:id="29"/>
      <w:r>
        <w:rPr>
          <w:rFonts w:hint="eastAsia" w:ascii="宋体" w:hAnsi="宋体" w:cs="hakuyoxingshu7000"/>
          <w:b/>
          <w:color w:val="auto"/>
          <w:kern w:val="0"/>
          <w:sz w:val="22"/>
          <w:szCs w:val="22"/>
          <w:highlight w:val="none"/>
          <w:u w:val="single"/>
        </w:rPr>
        <w:t>本项目无需投标保证金。</w:t>
      </w:r>
    </w:p>
    <w:p w14:paraId="3DD253DA">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其他事项：</w:t>
      </w:r>
    </w:p>
    <w:p w14:paraId="7DA85EBB">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1、本公告有效期自公告发布之日起</w:t>
      </w:r>
      <w:r>
        <w:rPr>
          <w:rFonts w:hint="eastAsia" w:ascii="宋体" w:hAnsi="宋体" w:cs="hakuyoxingshu7000"/>
          <w:bCs/>
          <w:color w:val="auto"/>
          <w:kern w:val="0"/>
          <w:sz w:val="22"/>
          <w:szCs w:val="22"/>
          <w:highlight w:val="none"/>
          <w:lang w:val="en-US" w:eastAsia="zh-CN"/>
        </w:rPr>
        <w:t>5</w:t>
      </w:r>
      <w:r>
        <w:rPr>
          <w:rFonts w:hint="eastAsia" w:ascii="宋体" w:hAnsi="宋体" w:cs="hakuyoxingshu7000"/>
          <w:bCs/>
          <w:color w:val="auto"/>
          <w:kern w:val="0"/>
          <w:sz w:val="22"/>
          <w:szCs w:val="22"/>
          <w:highlight w:val="none"/>
        </w:rPr>
        <w:t>个工作日。</w:t>
      </w:r>
    </w:p>
    <w:p w14:paraId="7588F206">
      <w:pPr>
        <w:widowControl/>
        <w:spacing w:before="60" w:after="60" w:line="340" w:lineRule="exact"/>
        <w:ind w:left="424" w:leftChars="202" w:right="60"/>
        <w:jc w:val="left"/>
        <w:rPr>
          <w:rFonts w:ascii="宋体" w:hAnsi="宋体" w:cs="hakuyoxingshu7000"/>
          <w:bCs/>
          <w:color w:val="auto"/>
          <w:kern w:val="0"/>
          <w:sz w:val="22"/>
          <w:szCs w:val="22"/>
        </w:rPr>
      </w:pPr>
      <w:r>
        <w:rPr>
          <w:rFonts w:hint="eastAsia" w:ascii="宋体" w:hAnsi="宋体" w:cs="hakuyoxingshu7000"/>
          <w:bCs/>
          <w:color w:val="auto"/>
          <w:kern w:val="0"/>
          <w:sz w:val="22"/>
          <w:szCs w:val="22"/>
          <w:highlight w:val="none"/>
        </w:rPr>
        <w:t>2、投标人认为招标文件使自己的权益受到损害的，可以自收到招标文件之日（发售截止日之后收到招标文件的</w:t>
      </w:r>
      <w:r>
        <w:rPr>
          <w:rFonts w:hint="eastAsia" w:ascii="宋体" w:hAnsi="宋体" w:cs="hakuyoxingshu7000"/>
          <w:bCs/>
          <w:color w:val="auto"/>
          <w:kern w:val="0"/>
          <w:sz w:val="22"/>
          <w:szCs w:val="22"/>
        </w:rPr>
        <w:t>，以发售截止日为准），以书面形式向招标人和招标代理机构提出质疑。</w:t>
      </w:r>
    </w:p>
    <w:p w14:paraId="25916F57">
      <w:pPr>
        <w:widowControl/>
        <w:spacing w:before="60" w:after="60" w:line="340" w:lineRule="exact"/>
        <w:ind w:left="424" w:leftChars="202" w:right="60"/>
        <w:jc w:val="left"/>
        <w:rPr>
          <w:rFonts w:ascii="宋体" w:hAnsi="宋体" w:cs="hakuyoxingshu7000"/>
          <w:bCs/>
          <w:color w:val="auto"/>
          <w:kern w:val="0"/>
          <w:sz w:val="22"/>
          <w:szCs w:val="22"/>
        </w:rPr>
      </w:pPr>
      <w:r>
        <w:rPr>
          <w:rFonts w:hint="eastAsia" w:ascii="宋体" w:hAnsi="宋体" w:cs="hakuyoxingshu7000"/>
          <w:bCs/>
          <w:color w:val="auto"/>
          <w:kern w:val="0"/>
          <w:sz w:val="22"/>
          <w:szCs w:val="22"/>
        </w:rPr>
        <w:t>3、购买招标文件时须提交的文件资料：</w:t>
      </w:r>
    </w:p>
    <w:p w14:paraId="6841B321">
      <w:pPr>
        <w:widowControl/>
        <w:numPr>
          <w:ilvl w:val="0"/>
          <w:numId w:val="2"/>
        </w:numPr>
        <w:spacing w:before="60" w:after="60" w:line="340" w:lineRule="exact"/>
        <w:ind w:right="60" w:firstLine="415"/>
        <w:jc w:val="left"/>
        <w:rPr>
          <w:rFonts w:ascii="宋体" w:hAnsi="宋体" w:cs="hakuyoxingshu7000"/>
          <w:bCs/>
          <w:color w:val="auto"/>
          <w:kern w:val="0"/>
          <w:sz w:val="22"/>
          <w:szCs w:val="22"/>
        </w:rPr>
      </w:pPr>
      <w:r>
        <w:rPr>
          <w:rFonts w:hint="eastAsia" w:ascii="宋体" w:hAnsi="宋体" w:cs="hakuyoxingshu7000"/>
          <w:bCs/>
          <w:color w:val="auto"/>
          <w:kern w:val="0"/>
          <w:sz w:val="22"/>
          <w:szCs w:val="22"/>
        </w:rPr>
        <w:t>法定代表授权书或投标人介绍信（原件）；</w:t>
      </w:r>
    </w:p>
    <w:p w14:paraId="07EB0763">
      <w:pPr>
        <w:widowControl/>
        <w:numPr>
          <w:ilvl w:val="0"/>
          <w:numId w:val="2"/>
        </w:numPr>
        <w:spacing w:before="60" w:after="60" w:line="340" w:lineRule="exact"/>
        <w:ind w:right="60" w:firstLine="415"/>
        <w:jc w:val="left"/>
        <w:rPr>
          <w:rFonts w:ascii="宋体" w:hAnsi="宋体" w:cs="hakuyoxingshu7000"/>
          <w:bCs/>
          <w:color w:val="auto"/>
          <w:kern w:val="0"/>
          <w:sz w:val="22"/>
          <w:szCs w:val="22"/>
        </w:rPr>
      </w:pPr>
      <w:r>
        <w:rPr>
          <w:rFonts w:hint="eastAsia" w:ascii="宋体" w:hAnsi="宋体" w:cs="hakuyoxingshu7000"/>
          <w:bCs/>
          <w:color w:val="auto"/>
          <w:kern w:val="0"/>
          <w:sz w:val="22"/>
          <w:szCs w:val="22"/>
        </w:rPr>
        <w:t>企业法人营业执照（影印件）；</w:t>
      </w:r>
    </w:p>
    <w:p w14:paraId="6C4D2344">
      <w:pPr>
        <w:widowControl/>
        <w:numPr>
          <w:ilvl w:val="0"/>
          <w:numId w:val="2"/>
        </w:numPr>
        <w:spacing w:before="60" w:after="60" w:line="340" w:lineRule="exact"/>
        <w:ind w:right="60" w:firstLine="415"/>
        <w:jc w:val="left"/>
        <w:rPr>
          <w:rFonts w:ascii="宋体" w:hAnsi="宋体" w:cs="hakuyoxingshu7000"/>
          <w:bCs/>
          <w:color w:val="auto"/>
          <w:kern w:val="0"/>
          <w:sz w:val="22"/>
          <w:szCs w:val="22"/>
        </w:rPr>
      </w:pPr>
      <w:r>
        <w:rPr>
          <w:rFonts w:hint="eastAsia" w:ascii="宋体" w:hAnsi="宋体" w:cs="hakuyoxingshu7000"/>
          <w:bCs/>
          <w:color w:val="auto"/>
          <w:kern w:val="0"/>
          <w:sz w:val="22"/>
          <w:szCs w:val="22"/>
        </w:rPr>
        <w:t>投标人认为需要提供的其他资料.</w:t>
      </w:r>
    </w:p>
    <w:p w14:paraId="32CE3BB9">
      <w:pPr>
        <w:widowControl/>
        <w:spacing w:before="60" w:after="60" w:line="340" w:lineRule="exact"/>
        <w:ind w:left="424" w:leftChars="202" w:right="60" w:firstLine="220" w:firstLineChars="100"/>
        <w:jc w:val="left"/>
        <w:rPr>
          <w:rFonts w:ascii="宋体" w:hAnsi="宋体" w:cs="hakuyoxingshu7000"/>
          <w:bCs/>
          <w:color w:val="auto"/>
          <w:kern w:val="0"/>
          <w:sz w:val="22"/>
          <w:szCs w:val="22"/>
        </w:rPr>
      </w:pPr>
      <w:r>
        <w:rPr>
          <w:rFonts w:hint="eastAsia" w:ascii="宋体" w:hAnsi="宋体" w:cs="hakuyoxingshu7000"/>
          <w:bCs/>
          <w:color w:val="auto"/>
          <w:kern w:val="0"/>
          <w:sz w:val="22"/>
          <w:szCs w:val="22"/>
        </w:rPr>
        <w:t>以上资料若为复印件，须加盖投标人公章。</w:t>
      </w:r>
    </w:p>
    <w:p w14:paraId="79889129">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rPr>
      </w:pPr>
      <w:r>
        <w:rPr>
          <w:rFonts w:hint="eastAsia" w:ascii="宋体" w:hAnsi="宋体" w:cs="hakuyoxingshu7000"/>
          <w:b/>
          <w:bCs/>
          <w:color w:val="auto"/>
          <w:kern w:val="0"/>
          <w:sz w:val="22"/>
          <w:szCs w:val="22"/>
        </w:rPr>
        <w:t>联系方式</w:t>
      </w:r>
    </w:p>
    <w:p w14:paraId="226216A7">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1.招标人：温州肯恩大学</w:t>
      </w:r>
    </w:p>
    <w:p w14:paraId="32779FA3">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地 址：温州市丽岙街道大学路88号</w:t>
      </w:r>
    </w:p>
    <w:p w14:paraId="754ACDCE">
      <w:pPr>
        <w:widowControl/>
        <w:spacing w:line="360" w:lineRule="exact"/>
        <w:ind w:firstLine="440" w:firstLineChars="200"/>
        <w:jc w:val="left"/>
        <w:rPr>
          <w:rFonts w:ascii="宋体" w:hAnsi="宋体" w:cs="宋体"/>
          <w:bCs/>
          <w:color w:val="auto"/>
          <w:kern w:val="0"/>
          <w:sz w:val="22"/>
          <w:szCs w:val="22"/>
        </w:rPr>
      </w:pPr>
      <w:r>
        <w:rPr>
          <w:rFonts w:hint="eastAsia" w:ascii="宋体" w:hAnsi="宋体" w:cs="宋体"/>
          <w:bCs/>
          <w:color w:val="auto"/>
          <w:kern w:val="0"/>
          <w:sz w:val="22"/>
          <w:szCs w:val="22"/>
        </w:rPr>
        <w:t>联系人：</w:t>
      </w:r>
      <w:r>
        <w:rPr>
          <w:rFonts w:hint="eastAsia" w:ascii="宋体" w:hAnsi="宋体" w:cs="宋体"/>
          <w:bCs/>
          <w:color w:val="auto"/>
          <w:kern w:val="0"/>
          <w:sz w:val="22"/>
          <w:szCs w:val="22"/>
          <w:lang w:val="en-US" w:eastAsia="zh-CN"/>
        </w:rPr>
        <w:t>孙</w:t>
      </w:r>
      <w:r>
        <w:rPr>
          <w:rFonts w:hint="eastAsia" w:ascii="宋体" w:hAnsi="宋体" w:cs="宋体"/>
          <w:bCs/>
          <w:color w:val="auto"/>
          <w:kern w:val="0"/>
          <w:sz w:val="22"/>
          <w:szCs w:val="22"/>
        </w:rPr>
        <w:t>老师</w:t>
      </w:r>
    </w:p>
    <w:p w14:paraId="0524AF92">
      <w:pPr>
        <w:widowControl/>
        <w:spacing w:line="360" w:lineRule="exact"/>
        <w:ind w:firstLine="440" w:firstLineChars="200"/>
        <w:jc w:val="left"/>
        <w:rPr>
          <w:rFonts w:hint="eastAsia" w:ascii="宋体" w:hAnsi="宋体" w:eastAsia="宋体" w:cs="宋体"/>
          <w:bCs/>
          <w:color w:val="auto"/>
          <w:kern w:val="0"/>
          <w:sz w:val="22"/>
          <w:szCs w:val="22"/>
          <w:lang w:val="en-US" w:eastAsia="zh-CN"/>
        </w:rPr>
      </w:pPr>
      <w:r>
        <w:rPr>
          <w:rFonts w:hint="eastAsia" w:ascii="宋体" w:hAnsi="宋体" w:cs="宋体"/>
          <w:bCs/>
          <w:color w:val="auto"/>
          <w:kern w:val="0"/>
          <w:sz w:val="22"/>
          <w:szCs w:val="22"/>
        </w:rPr>
        <w:t>电话 / 传真：0577-</w:t>
      </w:r>
      <w:r>
        <w:rPr>
          <w:rFonts w:hint="eastAsia" w:ascii="宋体" w:hAnsi="宋体" w:cs="宋体"/>
          <w:kern w:val="0"/>
          <w:sz w:val="22"/>
          <w:szCs w:val="22"/>
        </w:rPr>
        <w:t>55870565</w:t>
      </w:r>
    </w:p>
    <w:p w14:paraId="3ED8D5FE">
      <w:pPr>
        <w:widowControl/>
        <w:spacing w:line="360" w:lineRule="exact"/>
        <w:ind w:firstLine="440" w:firstLineChars="200"/>
        <w:jc w:val="left"/>
        <w:rPr>
          <w:rFonts w:ascii="宋体" w:hAnsi="宋体" w:cs="宋体"/>
          <w:bCs/>
          <w:color w:val="auto"/>
          <w:kern w:val="0"/>
          <w:sz w:val="22"/>
          <w:szCs w:val="22"/>
        </w:rPr>
      </w:pPr>
      <w:r>
        <w:rPr>
          <w:rFonts w:hint="eastAsia" w:ascii="宋体" w:hAnsi="宋体" w:cs="宋体"/>
          <w:bCs/>
          <w:color w:val="auto"/>
          <w:kern w:val="0"/>
          <w:sz w:val="22"/>
          <w:szCs w:val="22"/>
        </w:rPr>
        <w:t>质疑联系人：</w:t>
      </w:r>
      <w:r>
        <w:rPr>
          <w:rFonts w:hint="eastAsia" w:ascii="宋体" w:hAnsi="宋体" w:cs="宋体"/>
          <w:bCs/>
          <w:color w:val="auto"/>
          <w:kern w:val="0"/>
          <w:sz w:val="22"/>
          <w:szCs w:val="22"/>
          <w:lang w:val="en-US" w:eastAsia="zh-CN"/>
        </w:rPr>
        <w:t>刘</w:t>
      </w:r>
      <w:r>
        <w:rPr>
          <w:rFonts w:hint="eastAsia" w:ascii="宋体" w:hAnsi="宋体" w:cs="宋体"/>
          <w:bCs/>
          <w:color w:val="auto"/>
          <w:kern w:val="0"/>
          <w:sz w:val="22"/>
          <w:szCs w:val="22"/>
        </w:rPr>
        <w:t>老师  </w:t>
      </w:r>
    </w:p>
    <w:p w14:paraId="6EDAD5E2">
      <w:pPr>
        <w:spacing w:line="360" w:lineRule="exact"/>
        <w:ind w:firstLine="440" w:firstLineChars="200"/>
        <w:rPr>
          <w:rFonts w:hint="default" w:ascii="宋体" w:hAnsi="宋体" w:eastAsia="宋体" w:cs="宋体"/>
          <w:bCs/>
          <w:color w:val="auto"/>
          <w:kern w:val="0"/>
          <w:sz w:val="22"/>
          <w:szCs w:val="22"/>
          <w:lang w:val="en-US" w:eastAsia="zh-CN"/>
        </w:rPr>
      </w:pPr>
      <w:r>
        <w:rPr>
          <w:rFonts w:hint="eastAsia" w:ascii="宋体" w:hAnsi="宋体" w:cs="宋体"/>
          <w:bCs/>
          <w:color w:val="auto"/>
          <w:kern w:val="0"/>
          <w:sz w:val="22"/>
          <w:szCs w:val="22"/>
        </w:rPr>
        <w:t>质疑联系方式：0577-5587055</w:t>
      </w:r>
      <w:r>
        <w:rPr>
          <w:rFonts w:hint="eastAsia" w:ascii="宋体" w:hAnsi="宋体" w:cs="宋体"/>
          <w:bCs/>
          <w:color w:val="auto"/>
          <w:kern w:val="0"/>
          <w:sz w:val="22"/>
          <w:szCs w:val="22"/>
          <w:lang w:val="en-US" w:eastAsia="zh-CN"/>
        </w:rPr>
        <w:t>3</w:t>
      </w:r>
    </w:p>
    <w:p w14:paraId="43004721">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2.招标代理机构：温州元信工程项目管理有限公司</w:t>
      </w:r>
    </w:p>
    <w:p w14:paraId="44188211">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地址：温州市新桥街道牛山广场3号楼1905室</w:t>
      </w:r>
    </w:p>
    <w:p w14:paraId="34E67D7C">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联系人：陈先生、吴先生</w:t>
      </w:r>
    </w:p>
    <w:p w14:paraId="3F26271A">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联系电话：0577-88557963、18367896522、15158572233</w:t>
      </w:r>
    </w:p>
    <w:p w14:paraId="619ABF32">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质疑联系人：胡先生</w:t>
      </w:r>
    </w:p>
    <w:p w14:paraId="17E307B9">
      <w:pPr>
        <w:spacing w:line="360" w:lineRule="exact"/>
        <w:ind w:firstLine="440" w:firstLineChars="200"/>
        <w:rPr>
          <w:color w:val="auto"/>
        </w:rPr>
      </w:pPr>
      <w:r>
        <w:rPr>
          <w:rFonts w:hint="eastAsia" w:ascii="宋体" w:hAnsi="宋体" w:cs="宋体"/>
          <w:bCs/>
          <w:color w:val="auto"/>
          <w:kern w:val="0"/>
          <w:sz w:val="22"/>
          <w:szCs w:val="22"/>
        </w:rPr>
        <w:t>联系电话：</w:t>
      </w:r>
      <w:r>
        <w:rPr>
          <w:rFonts w:hint="eastAsia" w:ascii="宋体" w:hAnsi="宋体" w:cs="hakuyoxingshu7000"/>
          <w:bCs/>
          <w:color w:val="auto"/>
          <w:kern w:val="0"/>
          <w:sz w:val="22"/>
          <w:szCs w:val="22"/>
        </w:rPr>
        <w:t>15858758581</w:t>
      </w:r>
    </w:p>
    <w:p w14:paraId="55D5F4A5">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3.招标监督管理部门：温州肯恩大学</w:t>
      </w:r>
    </w:p>
    <w:p w14:paraId="075071EB">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监督联系人：林老师</w:t>
      </w:r>
    </w:p>
    <w:p w14:paraId="52CB0CEB">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联系电话：0577-55870046</w:t>
      </w:r>
    </w:p>
    <w:p w14:paraId="7B32AD27">
      <w:pPr>
        <w:spacing w:line="360" w:lineRule="exact"/>
        <w:ind w:firstLine="440" w:firstLineChars="200"/>
        <w:rPr>
          <w:rFonts w:ascii="宋体" w:hAnsi="宋体" w:cs="宋体"/>
          <w:bCs/>
          <w:color w:val="auto"/>
          <w:kern w:val="0"/>
          <w:sz w:val="22"/>
          <w:szCs w:val="22"/>
        </w:rPr>
      </w:pPr>
      <w:r>
        <w:rPr>
          <w:rFonts w:hint="eastAsia" w:ascii="宋体" w:hAnsi="宋体" w:cs="宋体"/>
          <w:bCs/>
          <w:color w:val="auto"/>
          <w:kern w:val="0"/>
          <w:sz w:val="22"/>
          <w:szCs w:val="22"/>
        </w:rPr>
        <w:t>地 址：温州市丽岙街道大学路88号</w:t>
      </w:r>
    </w:p>
    <w:p w14:paraId="54B6DC7F">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008291EF">
      <w:pPr>
        <w:widowControl/>
        <w:spacing w:before="60" w:after="60" w:line="400" w:lineRule="exact"/>
        <w:ind w:right="60" w:firstLine="440"/>
        <w:jc w:val="left"/>
        <w:rPr>
          <w:rFonts w:ascii="宋体" w:hAnsi="宋体" w:cs="Arial"/>
          <w:b/>
          <w:bCs/>
          <w:color w:val="auto"/>
          <w:sz w:val="36"/>
          <w:szCs w:val="36"/>
          <w:highlight w:val="none"/>
        </w:rPr>
      </w:pPr>
      <w:r>
        <w:rPr>
          <w:rFonts w:hint="eastAsia" w:ascii="宋体" w:hAnsi="宋体" w:cs="Arial"/>
          <w:b/>
          <w:bCs/>
          <w:color w:val="auto"/>
          <w:sz w:val="36"/>
          <w:szCs w:val="36"/>
          <w:highlight w:val="none"/>
        </w:rPr>
        <w:t xml:space="preserve"> </w:t>
      </w:r>
    </w:p>
    <w:p w14:paraId="2667C3E5">
      <w:pPr>
        <w:pStyle w:val="3"/>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30" w:name="_Toc222114875"/>
      <w:bookmarkStart w:id="31" w:name="_Toc223715994"/>
      <w:bookmarkStart w:id="32" w:name="_Toc262049414"/>
      <w:bookmarkStart w:id="33" w:name="_Toc245191310"/>
      <w:bookmarkStart w:id="34" w:name="_Toc221356882"/>
      <w:bookmarkStart w:id="35" w:name="_Toc241404198"/>
      <w:bookmarkStart w:id="36" w:name="_Toc262105499"/>
      <w:bookmarkStart w:id="37" w:name="_Toc245722277"/>
      <w:bookmarkStart w:id="38" w:name="_Toc221423615"/>
      <w:bookmarkStart w:id="39" w:name="_Toc246261261"/>
      <w:bookmarkStart w:id="40" w:name="_Toc221356947"/>
      <w:bookmarkStart w:id="41" w:name="_Toc30882"/>
      <w:bookmarkStart w:id="42" w:name="_Toc249758860"/>
      <w:bookmarkStart w:id="43" w:name="_Toc239145350"/>
      <w:bookmarkStart w:id="44" w:name="_Toc249758708"/>
      <w:bookmarkStart w:id="45" w:name="_Toc221374622"/>
      <w:bookmarkStart w:id="46" w:name="_Toc27051"/>
      <w:bookmarkStart w:id="47" w:name="_Toc22767"/>
      <w:r>
        <w:rPr>
          <w:rFonts w:hint="eastAsia" w:ascii="宋体" w:hAnsi="宋体" w:eastAsia="宋体" w:cs="Arial"/>
          <w:color w:val="auto"/>
          <w:sz w:val="36"/>
          <w:szCs w:val="36"/>
          <w:highlight w:val="none"/>
        </w:rPr>
        <w:t>第一部分    投标人须知</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9950038">
      <w:pPr>
        <w:pStyle w:val="3"/>
        <w:spacing w:before="120" w:after="120"/>
        <w:rPr>
          <w:rFonts w:ascii="宋体" w:hAnsi="宋体" w:eastAsia="宋体"/>
          <w:color w:val="auto"/>
          <w:sz w:val="26"/>
          <w:szCs w:val="26"/>
          <w:highlight w:val="none"/>
        </w:rPr>
      </w:pPr>
    </w:p>
    <w:p w14:paraId="3E81AB95">
      <w:pPr>
        <w:pStyle w:val="3"/>
        <w:pageBreakBefore w:val="0"/>
        <w:kinsoku/>
        <w:wordWrap/>
        <w:topLinePunct w:val="0"/>
        <w:bidi w:val="0"/>
        <w:snapToGrid/>
        <w:spacing w:before="120" w:after="120" w:line="360" w:lineRule="exact"/>
        <w:rPr>
          <w:rFonts w:ascii="宋体" w:hAnsi="宋体" w:eastAsia="宋体"/>
          <w:color w:val="auto"/>
          <w:sz w:val="26"/>
          <w:szCs w:val="26"/>
          <w:highlight w:val="none"/>
        </w:rPr>
      </w:pPr>
      <w:bookmarkStart w:id="48" w:name="_Toc22853"/>
      <w:r>
        <w:rPr>
          <w:rFonts w:hint="eastAsia" w:ascii="宋体" w:hAnsi="宋体" w:eastAsia="宋体"/>
          <w:color w:val="auto"/>
          <w:sz w:val="26"/>
          <w:szCs w:val="26"/>
          <w:highlight w:val="none"/>
        </w:rPr>
        <w:t>一、须知前附表</w:t>
      </w:r>
      <w:bookmarkEnd w:id="46"/>
      <w:bookmarkEnd w:id="47"/>
      <w:bookmarkEnd w:id="48"/>
    </w:p>
    <w:tbl>
      <w:tblPr>
        <w:tblStyle w:val="62"/>
        <w:tblW w:w="4987" w:type="pct"/>
        <w:tblInd w:w="0" w:type="dxa"/>
        <w:tblLayout w:type="autofit"/>
        <w:tblCellMar>
          <w:top w:w="0" w:type="dxa"/>
          <w:left w:w="108" w:type="dxa"/>
          <w:bottom w:w="0" w:type="dxa"/>
          <w:right w:w="108" w:type="dxa"/>
        </w:tblCellMar>
      </w:tblPr>
      <w:tblGrid>
        <w:gridCol w:w="1032"/>
        <w:gridCol w:w="1465"/>
        <w:gridCol w:w="7331"/>
      </w:tblGrid>
      <w:tr w14:paraId="32AB1525">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F631C9">
            <w:pPr>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4B095E">
            <w:pPr>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841E5C">
            <w:pPr>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5C876570">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685DF5">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8BAF3E">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50AD8A">
            <w:pPr>
              <w:keepNext w:val="0"/>
              <w:keepLines w:val="0"/>
              <w:pageBreakBefore w:val="0"/>
              <w:widowControl/>
              <w:kinsoku/>
              <w:wordWrap/>
              <w:topLinePunct w:val="0"/>
              <w:bidi w:val="0"/>
              <w:snapToGrid/>
              <w:spacing w:before="60" w:after="60" w:line="40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温州肯恩大学</w:t>
            </w:r>
          </w:p>
          <w:p w14:paraId="1DB83140">
            <w:pPr>
              <w:keepNext w:val="0"/>
              <w:keepLines w:val="0"/>
              <w:pageBreakBefore w:val="0"/>
              <w:widowControl/>
              <w:kinsoku/>
              <w:wordWrap/>
              <w:topLinePunct w:val="0"/>
              <w:bidi w:val="0"/>
              <w:snapToGrid/>
              <w:spacing w:before="60" w:after="60" w:line="400" w:lineRule="exact"/>
              <w:ind w:right="6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联系人：孙老师</w:t>
            </w:r>
          </w:p>
          <w:p w14:paraId="21EAFE58">
            <w:pPr>
              <w:keepNext w:val="0"/>
              <w:keepLines w:val="0"/>
              <w:pageBreakBefore w:val="0"/>
              <w:widowControl/>
              <w:kinsoku/>
              <w:wordWrap/>
              <w:topLinePunct w:val="0"/>
              <w:bidi w:val="0"/>
              <w:snapToGrid/>
              <w:spacing w:before="60" w:after="60" w:line="40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 传真：0577-55870565</w:t>
            </w:r>
          </w:p>
        </w:tc>
      </w:tr>
      <w:tr w14:paraId="602448D8">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75AF7B">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D88B7C">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36E972">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采购代理机构名称：温州元信工程项目管理有限公司</w:t>
            </w:r>
          </w:p>
          <w:p w14:paraId="4E3D6117">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14:paraId="3751B684">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14:paraId="46CCAEEA">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联系电话：0577-88557963、15158572233</w:t>
            </w:r>
          </w:p>
        </w:tc>
      </w:tr>
      <w:tr w14:paraId="6C558248">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2BFDA7">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BBF2B9">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538729">
            <w:pPr>
              <w:keepNext w:val="0"/>
              <w:keepLines w:val="0"/>
              <w:pageBreakBefore w:val="0"/>
              <w:kinsoku/>
              <w:wordWrap/>
              <w:topLinePunct w:val="0"/>
              <w:bidi w:val="0"/>
              <w:snapToGrid/>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2024年教室改造设备采购</w:t>
            </w:r>
          </w:p>
          <w:p w14:paraId="63744052">
            <w:pPr>
              <w:keepNext w:val="0"/>
              <w:keepLines w:val="0"/>
              <w:pageBreakBefore w:val="0"/>
              <w:kinsoku/>
              <w:wordWrap/>
              <w:topLinePunct w:val="0"/>
              <w:bidi w:val="0"/>
              <w:snapToGrid/>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lang w:eastAsia="zh-CN"/>
              </w:rPr>
              <w:t>WZYX-W2024071302</w:t>
            </w:r>
          </w:p>
        </w:tc>
      </w:tr>
      <w:tr w14:paraId="6DCC9080">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35C572">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66E79F">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B7C417">
            <w:pPr>
              <w:keepNext w:val="0"/>
              <w:keepLines w:val="0"/>
              <w:pageBreakBefore w:val="0"/>
              <w:kinsoku/>
              <w:wordWrap/>
              <w:topLinePunct w:val="0"/>
              <w:autoSpaceDE w:val="0"/>
              <w:autoSpaceDN w:val="0"/>
              <w:bidi w:val="0"/>
              <w:adjustRightInd w:val="0"/>
              <w:snapToGrid/>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51FA0149">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5EC5C0">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FB80D5">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B7ADC7">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非单一产品采购项目，采购人应当根据采购项目技术构成、产品价格比重等合理确定核心产品，并在采购文件中载明。</w:t>
            </w:r>
          </w:p>
          <w:p w14:paraId="1A769CBF">
            <w:pPr>
              <w:keepNext w:val="0"/>
              <w:keepLines w:val="0"/>
              <w:pageBreakBefore w:val="0"/>
              <w:widowControl/>
              <w:kinsoku/>
              <w:wordWrap/>
              <w:topLinePunct w:val="0"/>
              <w:bidi w:val="0"/>
              <w:snapToGrid/>
              <w:spacing w:line="400" w:lineRule="exact"/>
              <w:textAlignment w:val="center"/>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本项目为货物类采购核心产品为：超短焦投影</w:t>
            </w:r>
          </w:p>
        </w:tc>
      </w:tr>
      <w:tr w14:paraId="59149015">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E21109">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FA06E8">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eastAsia="zh-CN"/>
              </w:rPr>
              <w:t>资</w:t>
            </w:r>
            <w:r>
              <w:rPr>
                <w:rFonts w:hint="eastAsia" w:ascii="宋体" w:hAnsi="宋体" w:cs="宋体"/>
                <w:b/>
                <w:bCs/>
                <w:color w:val="auto"/>
                <w:kern w:val="0"/>
                <w:sz w:val="22"/>
                <w:szCs w:val="22"/>
                <w:highlight w:val="none"/>
                <w:u w:val="single"/>
                <w:lang w:val="zh-CN"/>
              </w:rPr>
              <w:t>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1E2D28D">
            <w:pPr>
              <w:keepNext w:val="0"/>
              <w:keepLines w:val="0"/>
              <w:pageBreakBefore w:val="0"/>
              <w:widowControl/>
              <w:kinsoku/>
              <w:wordWrap/>
              <w:topLinePunct w:val="0"/>
              <w:bidi w:val="0"/>
              <w:snapToGrid/>
              <w:spacing w:before="60" w:after="60" w:line="40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1.满足《中华人民共和国政府采购法》第二十二条的规定；未被“信用中国”（www.creditchina.gov.cn</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rPr>
              <w:t>、中国政府采购网（www.ccgp.gov.cn）列入失信被执行人、重大税收违法案件当事人名单、政府采购严重违法失信行为记录名单。</w:t>
            </w:r>
          </w:p>
          <w:p w14:paraId="7F0BEEB5">
            <w:pPr>
              <w:keepNext w:val="0"/>
              <w:keepLines w:val="0"/>
              <w:pageBreakBefore w:val="0"/>
              <w:widowControl/>
              <w:kinsoku/>
              <w:wordWrap/>
              <w:topLinePunct w:val="0"/>
              <w:bidi w:val="0"/>
              <w:snapToGrid/>
              <w:spacing w:before="60" w:after="60" w:line="40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2.落实政府采购政策需满足的资格要求：无</w:t>
            </w:r>
          </w:p>
          <w:p w14:paraId="137A90AC">
            <w:pPr>
              <w:keepNext w:val="0"/>
              <w:keepLines w:val="0"/>
              <w:pageBreakBefore w:val="0"/>
              <w:widowControl/>
              <w:kinsoku/>
              <w:wordWrap/>
              <w:topLinePunct w:val="0"/>
              <w:bidi w:val="0"/>
              <w:snapToGrid/>
              <w:spacing w:before="60" w:after="60" w:line="40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3.本项目的特定资格要求：无。</w:t>
            </w:r>
          </w:p>
        </w:tc>
      </w:tr>
      <w:tr w14:paraId="6F1E80C3">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FFCDCB">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2AAAF3">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838D66">
            <w:pPr>
              <w:keepNext w:val="0"/>
              <w:keepLines w:val="0"/>
              <w:pageBreakBefore w:val="0"/>
              <w:kinsoku/>
              <w:wordWrap/>
              <w:topLinePunct w:val="0"/>
              <w:autoSpaceDE w:val="0"/>
              <w:autoSpaceDN w:val="0"/>
              <w:bidi w:val="0"/>
              <w:adjustRightInd w:val="0"/>
              <w:snapToGrid/>
              <w:spacing w:line="400" w:lineRule="exact"/>
              <w:rPr>
                <w:color w:val="auto"/>
                <w:highlight w:val="none"/>
                <w:lang w:val="zh-CN"/>
              </w:rPr>
            </w:pPr>
            <w:r>
              <w:rPr>
                <w:rFonts w:hint="eastAsia"/>
                <w:color w:val="auto"/>
                <w:highlight w:val="none"/>
              </w:rPr>
              <w:sym w:font="Wingdings" w:char="00A8"/>
            </w:r>
            <w:r>
              <w:rPr>
                <w:rFonts w:hint="eastAsia"/>
                <w:color w:val="auto"/>
                <w:highlight w:val="none"/>
                <w:lang w:val="zh-CN"/>
              </w:rPr>
              <w:t>不接受</w:t>
            </w:r>
          </w:p>
          <w:p w14:paraId="2A89C17E">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rPr>
            </w:pPr>
            <w:r>
              <w:rPr>
                <w:rFonts w:hint="eastAsia"/>
                <w:color w:val="auto"/>
                <w:highlight w:val="none"/>
                <w:lang w:val="zh-CN"/>
              </w:rPr>
              <w:sym w:font="Wingdings 2" w:char="0052"/>
            </w:r>
            <w:r>
              <w:rPr>
                <w:rFonts w:hint="eastAsia"/>
                <w:color w:val="auto"/>
                <w:highlight w:val="none"/>
                <w:lang w:val="zh-CN"/>
              </w:rPr>
              <w:t>接受</w:t>
            </w:r>
            <w:r>
              <w:rPr>
                <w:rFonts w:hint="eastAsia" w:ascii="宋体" w:hAnsi="宋体" w:cs="宋体"/>
                <w:color w:val="auto"/>
                <w:kern w:val="0"/>
                <w:sz w:val="22"/>
                <w:szCs w:val="22"/>
                <w:highlight w:val="none"/>
              </w:rPr>
              <w:t>，应满足下列要求：</w:t>
            </w:r>
          </w:p>
          <w:p w14:paraId="3B550090">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14:paraId="55944D34">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14:paraId="62BE5CDE">
            <w:pPr>
              <w:pStyle w:val="34"/>
              <w:keepNext w:val="0"/>
              <w:keepLines w:val="0"/>
              <w:pageBreakBefore w:val="0"/>
              <w:kinsoku/>
              <w:wordWrap/>
              <w:topLinePunct w:val="0"/>
              <w:bidi w:val="0"/>
              <w:snapToGrid/>
              <w:spacing w:line="400" w:lineRule="exact"/>
              <w:rPr>
                <w:color w:val="auto"/>
                <w:highlight w:val="none"/>
                <w:lang w:val="zh-CN"/>
              </w:rPr>
            </w:pPr>
            <w:r>
              <w:rPr>
                <w:rFonts w:hint="eastAsia" w:hAnsi="宋体" w:cs="宋体"/>
                <w:color w:val="auto"/>
                <w:sz w:val="22"/>
                <w:szCs w:val="22"/>
                <w:highlight w:val="none"/>
              </w:rPr>
              <w:t>（3）联合体成员不超过两家。</w:t>
            </w:r>
          </w:p>
        </w:tc>
      </w:tr>
      <w:tr w14:paraId="006AE333">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42A7FE">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001E51">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50FA7B">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2B52FE43">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14:paraId="07C7B2DD">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BFC160">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7EF949">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63FD8D2">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1E689F5C">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4EE5FCFA">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0899E9">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E4B28A">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C67152">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62A6E2DE">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BE58F0">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6F0D51">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B854D2">
            <w:pPr>
              <w:keepNext w:val="0"/>
              <w:keepLines w:val="0"/>
              <w:pageBreakBefore w:val="0"/>
              <w:kinsoku/>
              <w:wordWrap/>
              <w:topLinePunct w:val="0"/>
              <w:autoSpaceDE w:val="0"/>
              <w:autoSpaceDN w:val="0"/>
              <w:bidi w:val="0"/>
              <w:adjustRightInd w:val="0"/>
              <w:snapToGrid/>
              <w:spacing w:line="400" w:lineRule="exact"/>
              <w:rPr>
                <w:color w:val="auto"/>
                <w:highlight w:val="none"/>
                <w:lang w:val="zh-CN"/>
              </w:rPr>
            </w:pPr>
            <w:r>
              <w:rPr>
                <w:rFonts w:hint="eastAsia"/>
                <w:color w:val="auto"/>
                <w:highlight w:val="none"/>
              </w:rPr>
              <w:sym w:font="Wingdings" w:char="00A8"/>
            </w:r>
            <w:r>
              <w:rPr>
                <w:rFonts w:hint="eastAsia"/>
                <w:color w:val="auto"/>
                <w:highlight w:val="none"/>
                <w:lang w:val="zh-CN"/>
              </w:rPr>
              <w:t>不允许</w:t>
            </w:r>
          </w:p>
          <w:p w14:paraId="369997C3">
            <w:pPr>
              <w:keepNext w:val="0"/>
              <w:keepLines w:val="0"/>
              <w:pageBreakBefore w:val="0"/>
              <w:kinsoku/>
              <w:wordWrap/>
              <w:topLinePunct w:val="0"/>
              <w:autoSpaceDE w:val="0"/>
              <w:autoSpaceDN w:val="0"/>
              <w:bidi w:val="0"/>
              <w:adjustRightInd w:val="0"/>
              <w:snapToGrid/>
              <w:spacing w:line="400" w:lineRule="exact"/>
              <w:rPr>
                <w:color w:val="auto"/>
                <w:highlight w:val="none"/>
                <w:lang w:val="zh-CN"/>
              </w:rPr>
            </w:pPr>
            <w:r>
              <w:rPr>
                <w:rFonts w:hint="eastAsia"/>
                <w:color w:val="auto"/>
                <w:highlight w:val="none"/>
                <w:lang w:val="zh-CN"/>
              </w:rPr>
              <w:sym w:font="Wingdings 2" w:char="0052"/>
            </w:r>
            <w:r>
              <w:rPr>
                <w:rFonts w:hint="eastAsia"/>
                <w:color w:val="auto"/>
                <w:highlight w:val="none"/>
                <w:lang w:val="zh-CN"/>
              </w:rPr>
              <w:t>允许</w:t>
            </w:r>
            <w:r>
              <w:rPr>
                <w:rFonts w:hint="eastAsia"/>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w:t>
            </w:r>
            <w:r>
              <w:rPr>
                <w:rFonts w:hint="eastAsia" w:ascii="宋体" w:hAnsi="宋体" w:cs="宋体"/>
                <w:color w:val="auto"/>
                <w:kern w:val="0"/>
                <w:sz w:val="22"/>
                <w:szCs w:val="22"/>
                <w:highlight w:val="none"/>
                <w:lang w:eastAsia="zh-CN"/>
              </w:rPr>
              <w:t>投标文件</w:t>
            </w:r>
            <w:r>
              <w:rPr>
                <w:rFonts w:hint="eastAsia" w:ascii="宋体" w:hAnsi="宋体" w:cs="宋体"/>
                <w:color w:val="auto"/>
                <w:kern w:val="0"/>
                <w:sz w:val="22"/>
                <w:szCs w:val="22"/>
                <w:highlight w:val="none"/>
              </w:rPr>
              <w:t>内提供分包意向书，明确分包内容及金额比例。</w:t>
            </w:r>
          </w:p>
        </w:tc>
      </w:tr>
      <w:tr w14:paraId="054672CC">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1D4A04">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E70C53">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FF0668">
            <w:pPr>
              <w:keepNext w:val="0"/>
              <w:keepLines w:val="0"/>
              <w:pageBreakBefore w:val="0"/>
              <w:kinsoku/>
              <w:wordWrap/>
              <w:topLinePunct w:val="0"/>
              <w:autoSpaceDE w:val="0"/>
              <w:autoSpaceDN w:val="0"/>
              <w:bidi w:val="0"/>
              <w:adjustRightInd w:val="0"/>
              <w:snapToGrid/>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偏差允许幅度及其处理方法：允许细微偏差，不允许重大偏差。由评标委员会判断，细微偏差要求供应商在评标结束前予以澄清、说明或补正，不接受要求进行的，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有权作无效标处理，详见评标办法。</w:t>
            </w:r>
          </w:p>
        </w:tc>
      </w:tr>
      <w:tr w14:paraId="15BD5DB5">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E1FD4F">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EB8BC2">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08E2A6">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07DF42D1">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98AB62">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3A8C55">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882ADA">
            <w:pPr>
              <w:keepNext w:val="0"/>
              <w:keepLines w:val="0"/>
              <w:pageBreakBefore w:val="0"/>
              <w:kinsoku/>
              <w:wordWrap/>
              <w:topLinePunct w:val="0"/>
              <w:autoSpaceDE w:val="0"/>
              <w:autoSpaceDN w:val="0"/>
              <w:bidi w:val="0"/>
              <w:adjustRightInd w:val="0"/>
              <w:snapToGrid/>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37413BE9">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FEF935">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09FB57">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D213A7">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21C8D30E">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3D3FA3">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196F48">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733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5A519A">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lang w:val="zh-CN"/>
              </w:rPr>
              <w:t>投标人按照</w:t>
            </w:r>
            <w:r>
              <w:rPr>
                <w:rFonts w:hint="eastAsia" w:ascii="宋体" w:hAnsi="宋体" w:cs="宋体"/>
                <w:color w:val="auto"/>
                <w:kern w:val="0"/>
                <w:sz w:val="22"/>
                <w:szCs w:val="22"/>
              </w:rPr>
              <w:t>招标文件要求进行</w:t>
            </w:r>
            <w:r>
              <w:rPr>
                <w:rFonts w:hint="eastAsia" w:ascii="宋体" w:hAnsi="宋体" w:cs="宋体"/>
                <w:color w:val="auto"/>
                <w:kern w:val="0"/>
                <w:sz w:val="22"/>
                <w:szCs w:val="22"/>
                <w:lang w:val="zh-CN"/>
              </w:rPr>
              <w:t>编制。</w:t>
            </w:r>
          </w:p>
        </w:tc>
      </w:tr>
      <w:tr w14:paraId="477BBDB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3DA960">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77DF9B">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0F6BE87F">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733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A2BFAB">
            <w:pPr>
              <w:keepNext w:val="0"/>
              <w:keepLines w:val="0"/>
              <w:pageBreakBefore w:val="0"/>
              <w:kinsoku/>
              <w:wordWrap/>
              <w:topLinePunct w:val="0"/>
              <w:bidi w:val="0"/>
              <w:snapToGrid/>
              <w:spacing w:line="400" w:lineRule="exact"/>
              <w:rPr>
                <w:rFonts w:ascii="宋体" w:hAnsi="宋体" w:cs="宋体"/>
                <w:color w:val="auto"/>
                <w:sz w:val="22"/>
                <w:szCs w:val="22"/>
                <w:highlight w:val="none"/>
                <w:lang w:val="zh-CN"/>
              </w:rPr>
            </w:pPr>
            <w:r>
              <w:rPr>
                <w:rFonts w:hint="eastAsia" w:ascii="宋体" w:hAnsi="宋体" w:cs="宋体"/>
                <w:color w:val="auto"/>
                <w:sz w:val="22"/>
                <w:szCs w:val="22"/>
              </w:rPr>
              <w:t>详见招标公告</w:t>
            </w:r>
          </w:p>
        </w:tc>
      </w:tr>
      <w:tr w14:paraId="7B9D256D">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745EE6">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ACDD05">
            <w:pPr>
              <w:keepNext w:val="0"/>
              <w:keepLines w:val="0"/>
              <w:pageBreakBefore w:val="0"/>
              <w:kinsoku/>
              <w:wordWrap/>
              <w:topLinePunct w:val="0"/>
              <w:autoSpaceDE w:val="0"/>
              <w:autoSpaceDN w:val="0"/>
              <w:bidi w:val="0"/>
              <w:adjustRightInd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733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A173FC">
            <w:pPr>
              <w:pStyle w:val="24"/>
              <w:keepNext w:val="0"/>
              <w:keepLines w:val="0"/>
              <w:pageBreakBefore w:val="0"/>
              <w:numPr>
                <w:ilvl w:val="0"/>
                <w:numId w:val="3"/>
              </w:numPr>
              <w:kinsoku/>
              <w:wordWrap/>
              <w:topLinePunct w:val="0"/>
              <w:bidi w:val="0"/>
              <w:snapToGrid/>
              <w:spacing w:line="400" w:lineRule="exact"/>
              <w:rPr>
                <w:rFonts w:ascii="宋体" w:hAnsi="宋体" w:cs="宋体"/>
                <w:color w:val="auto"/>
                <w:sz w:val="22"/>
                <w:szCs w:val="22"/>
                <w:lang w:val="zh-CN"/>
              </w:rPr>
            </w:pPr>
            <w:r>
              <w:rPr>
                <w:rFonts w:hint="eastAsia" w:ascii="宋体" w:hAnsi="宋体" w:cs="宋体"/>
                <w:color w:val="auto"/>
                <w:sz w:val="22"/>
                <w:szCs w:val="22"/>
                <w:lang w:val="zh-CN"/>
              </w:rPr>
              <w:t>在评标过程中，如评审小组对投标人递交的响应文件存有疑问要求投标人进行澄清或根据评审需求需要与投标人进行评审的，将</w:t>
            </w:r>
            <w:r>
              <w:rPr>
                <w:rFonts w:hint="eastAsia" w:ascii="宋体" w:hAnsi="宋体" w:cs="宋体"/>
                <w:color w:val="auto"/>
                <w:sz w:val="22"/>
                <w:szCs w:val="22"/>
              </w:rPr>
              <w:t>在现场对投标人进行询标，投标人须在规定时间内澄清</w:t>
            </w:r>
            <w:r>
              <w:rPr>
                <w:rFonts w:hint="eastAsia" w:ascii="宋体" w:hAnsi="宋体" w:cs="宋体"/>
                <w:color w:val="auto"/>
                <w:sz w:val="22"/>
                <w:szCs w:val="22"/>
                <w:lang w:val="zh-CN"/>
              </w:rPr>
              <w:t>。</w:t>
            </w:r>
          </w:p>
          <w:p w14:paraId="7C038B21">
            <w:pPr>
              <w:pStyle w:val="24"/>
              <w:keepNext w:val="0"/>
              <w:keepLines w:val="0"/>
              <w:pageBreakBefore w:val="0"/>
              <w:numPr>
                <w:ilvl w:val="0"/>
                <w:numId w:val="3"/>
              </w:numPr>
              <w:kinsoku/>
              <w:wordWrap/>
              <w:topLinePunct w:val="0"/>
              <w:bidi w:val="0"/>
              <w:snapToGrid/>
              <w:spacing w:line="400" w:lineRule="exact"/>
              <w:ind w:left="425" w:leftChars="0" w:hanging="425" w:firstLineChars="0"/>
              <w:rPr>
                <w:rFonts w:ascii="宋体" w:hAnsi="宋体" w:cs="宋体"/>
                <w:color w:val="auto"/>
                <w:sz w:val="22"/>
                <w:szCs w:val="22"/>
                <w:highlight w:val="none"/>
                <w:lang w:val="zh-CN"/>
              </w:rPr>
            </w:pPr>
            <w:r>
              <w:rPr>
                <w:rFonts w:hint="eastAsia" w:ascii="宋体" w:hAnsi="宋体" w:cs="宋体"/>
                <w:color w:val="auto"/>
                <w:sz w:val="22"/>
                <w:szCs w:val="22"/>
                <w:lang w:val="zh-CN"/>
              </w:rPr>
              <w:t>本项目招标过程中，涉及的投标人联系方式（如手机号码、</w:t>
            </w:r>
            <w:r>
              <w:rPr>
                <w:rFonts w:hint="eastAsia" w:ascii="宋体" w:hAnsi="宋体" w:cs="宋体"/>
                <w:color w:val="auto"/>
                <w:sz w:val="22"/>
                <w:szCs w:val="22"/>
              </w:rPr>
              <w:t>响应</w:t>
            </w:r>
            <w:r>
              <w:rPr>
                <w:rFonts w:hint="eastAsia" w:ascii="宋体" w:hAnsi="宋体" w:cs="宋体"/>
                <w:color w:val="auto"/>
                <w:sz w:val="22"/>
                <w:szCs w:val="22"/>
                <w:lang w:val="zh-CN"/>
              </w:rPr>
              <w:t>文件中预留的邮箱、投标人地址），均以投标人递交的</w:t>
            </w:r>
            <w:r>
              <w:rPr>
                <w:rFonts w:hint="eastAsia" w:ascii="宋体" w:hAnsi="宋体" w:cs="宋体"/>
                <w:color w:val="auto"/>
                <w:sz w:val="22"/>
                <w:szCs w:val="22"/>
              </w:rPr>
              <w:t>响应</w:t>
            </w:r>
            <w:r>
              <w:rPr>
                <w:rFonts w:hint="eastAsia" w:ascii="宋体" w:hAnsi="宋体" w:cs="宋体"/>
                <w:color w:val="auto"/>
                <w:sz w:val="22"/>
                <w:szCs w:val="22"/>
                <w:lang w:val="zh-CN"/>
              </w:rPr>
              <w:t>文件中《法定代表人资格声明书》或《法定代表人授权委托书》上注明的联系方式为准。</w:t>
            </w:r>
          </w:p>
        </w:tc>
      </w:tr>
      <w:tr w14:paraId="4C4E5563">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EB22BE">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DE2621">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64710203">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808907">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5DF1524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A74ACE">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5EF4DB">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8FED47">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1F4AD81C">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225ADF5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F133B2">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2A10A6">
            <w:pPr>
              <w:keepNext w:val="0"/>
              <w:keepLines w:val="0"/>
              <w:pageBreakBefore w:val="0"/>
              <w:kinsoku/>
              <w:wordWrap/>
              <w:topLinePunct w:val="0"/>
              <w:bidi w:val="0"/>
              <w:adjustRightInd w:val="0"/>
              <w:snapToGrid/>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22593ADD">
            <w:pPr>
              <w:keepNext w:val="0"/>
              <w:keepLines w:val="0"/>
              <w:pageBreakBefore w:val="0"/>
              <w:kinsoku/>
              <w:wordWrap/>
              <w:topLinePunct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62A593">
            <w:pPr>
              <w:keepNext w:val="0"/>
              <w:keepLines w:val="0"/>
              <w:pageBreakBefore w:val="0"/>
              <w:numPr>
                <w:ilvl w:val="0"/>
                <w:numId w:val="4"/>
              </w:numPr>
              <w:kinsoku/>
              <w:wordWrap/>
              <w:topLinePunct w:val="0"/>
              <w:autoSpaceDE w:val="0"/>
              <w:autoSpaceDN w:val="0"/>
              <w:bidi w:val="0"/>
              <w:adjustRightInd w:val="0"/>
              <w:snapToGrid/>
              <w:spacing w:line="400" w:lineRule="exact"/>
              <w:rPr>
                <w:color w:val="auto"/>
                <w:sz w:val="22"/>
                <w:szCs w:val="22"/>
                <w:highlight w:val="none"/>
              </w:rPr>
            </w:pPr>
            <w:r>
              <w:rPr>
                <w:rFonts w:hint="eastAsia"/>
                <w:color w:val="auto"/>
                <w:sz w:val="22"/>
                <w:szCs w:val="22"/>
                <w:highlight w:val="none"/>
              </w:rPr>
              <w:t>中小微企业扶持政策</w:t>
            </w:r>
          </w:p>
          <w:p w14:paraId="6CD8EF3B">
            <w:pPr>
              <w:keepNext w:val="0"/>
              <w:keepLines w:val="0"/>
              <w:pageBreakBefore w:val="0"/>
              <w:numPr>
                <w:ilvl w:val="0"/>
                <w:numId w:val="5"/>
              </w:numPr>
              <w:kinsoku/>
              <w:wordWrap/>
              <w:topLinePunct w:val="0"/>
              <w:autoSpaceDE w:val="0"/>
              <w:autoSpaceDN w:val="0"/>
              <w:bidi w:val="0"/>
              <w:adjustRightInd w:val="0"/>
              <w:snapToGrid/>
              <w:spacing w:line="400" w:lineRule="exact"/>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本次采购为</w:t>
            </w:r>
            <w:r>
              <w:rPr>
                <w:rFonts w:hint="eastAsia" w:ascii="宋体" w:hAnsi="宋体" w:cs="宋体"/>
                <w:b/>
                <w:bCs/>
                <w:color w:val="auto"/>
                <w:sz w:val="22"/>
                <w:szCs w:val="22"/>
                <w:highlight w:val="none"/>
                <w:u w:val="single"/>
                <w:lang w:val="zh-CN"/>
              </w:rPr>
              <w:t xml:space="preserve"> 否 </w:t>
            </w:r>
            <w:r>
              <w:rPr>
                <w:rFonts w:hint="eastAsia" w:ascii="宋体" w:hAnsi="宋体" w:cs="宋体"/>
                <w:color w:val="auto"/>
                <w:sz w:val="22"/>
                <w:szCs w:val="22"/>
                <w:highlight w:val="none"/>
                <w:lang w:val="zh-CN"/>
              </w:rPr>
              <w:t>专门面向中小企业预留采购份额的采购项目。</w:t>
            </w:r>
            <w:r>
              <w:rPr>
                <w:rFonts w:hint="eastAsia" w:ascii="宋体" w:hAnsi="宋体" w:cs="宋体"/>
                <w:b/>
                <w:bCs/>
                <w:color w:val="auto"/>
                <w:sz w:val="22"/>
                <w:szCs w:val="22"/>
                <w:highlight w:val="none"/>
                <w:lang w:val="zh-CN"/>
              </w:rPr>
              <w:t>本项目对小型和微型企业的价格给予</w:t>
            </w:r>
            <w:r>
              <w:rPr>
                <w:rFonts w:hint="eastAsia" w:ascii="宋体" w:hAnsi="宋体" w:cs="宋体"/>
                <w:b/>
                <w:bCs/>
                <w:color w:val="auto"/>
                <w:sz w:val="22"/>
                <w:szCs w:val="22"/>
                <w:highlight w:val="none"/>
              </w:rPr>
              <w:t>10</w:t>
            </w:r>
            <w:r>
              <w:rPr>
                <w:rFonts w:hint="eastAsia" w:ascii="宋体" w:hAnsi="宋体" w:cs="宋体"/>
                <w:b/>
                <w:bCs/>
                <w:color w:val="auto"/>
                <w:sz w:val="22"/>
                <w:szCs w:val="22"/>
                <w:highlight w:val="none"/>
                <w:lang w:val="zh-CN"/>
              </w:rPr>
              <w:t>%的扣除，用扣除后的价格参与评审。</w:t>
            </w:r>
          </w:p>
          <w:p w14:paraId="73D38BA3">
            <w:pPr>
              <w:keepNext w:val="0"/>
              <w:keepLines w:val="0"/>
              <w:pageBreakBefore w:val="0"/>
              <w:numPr>
                <w:ilvl w:val="0"/>
                <w:numId w:val="5"/>
              </w:numPr>
              <w:kinsoku/>
              <w:wordWrap/>
              <w:topLinePunct w:val="0"/>
              <w:autoSpaceDE w:val="0"/>
              <w:autoSpaceDN w:val="0"/>
              <w:bidi w:val="0"/>
              <w:adjustRightInd w:val="0"/>
              <w:snapToGrid/>
              <w:spacing w:line="400" w:lineRule="exact"/>
              <w:rPr>
                <w:rFonts w:ascii="宋体" w:hAnsi="宋体" w:cs="宋体"/>
                <w:color w:val="auto"/>
                <w:highlight w:val="none"/>
                <w:lang w:val="zh-CN"/>
              </w:rPr>
            </w:pPr>
            <w:r>
              <w:rPr>
                <w:rFonts w:hint="eastAsia" w:ascii="宋体" w:hAnsi="宋体" w:cs="宋体"/>
                <w:bCs/>
                <w:color w:val="auto"/>
                <w:kern w:val="0"/>
                <w:sz w:val="22"/>
                <w:szCs w:val="22"/>
                <w:highlight w:val="none"/>
              </w:rPr>
              <w:t>对于联合体协议或分包意向协议约定</w:t>
            </w:r>
            <w:r>
              <w:rPr>
                <w:rFonts w:hint="eastAsia" w:ascii="宋体" w:hAnsi="宋体" w:cs="宋体"/>
                <w:bCs/>
                <w:color w:val="auto"/>
                <w:sz w:val="22"/>
                <w:szCs w:val="22"/>
                <w:highlight w:val="none"/>
                <w:lang w:val="zh-CN"/>
              </w:rPr>
              <w:t>小型和微型</w:t>
            </w:r>
            <w:r>
              <w:rPr>
                <w:rFonts w:hint="eastAsia" w:ascii="宋体" w:hAnsi="宋体" w:cs="宋体"/>
                <w:bCs/>
                <w:color w:val="auto"/>
                <w:kern w:val="0"/>
                <w:sz w:val="22"/>
                <w:szCs w:val="22"/>
                <w:highlight w:val="none"/>
              </w:rPr>
              <w:t>企业的合同份额占合同总金额30%以上的投标人，</w:t>
            </w:r>
            <w:r>
              <w:rPr>
                <w:rFonts w:hint="eastAsia" w:ascii="宋体" w:hAnsi="宋体" w:cs="宋体"/>
                <w:bCs/>
                <w:color w:val="auto"/>
                <w:sz w:val="22"/>
                <w:szCs w:val="22"/>
                <w:highlight w:val="none"/>
                <w:lang w:val="zh-CN"/>
              </w:rPr>
              <w:t>本项目对</w:t>
            </w:r>
            <w:r>
              <w:rPr>
                <w:rFonts w:hint="eastAsia" w:ascii="宋体" w:hAnsi="宋体" w:cs="宋体"/>
                <w:bCs/>
                <w:color w:val="auto"/>
                <w:sz w:val="22"/>
                <w:szCs w:val="22"/>
                <w:highlight w:val="none"/>
              </w:rPr>
              <w:t>其</w:t>
            </w:r>
            <w:r>
              <w:rPr>
                <w:rFonts w:hint="eastAsia" w:ascii="宋体" w:hAnsi="宋体" w:cs="宋体"/>
                <w:bCs/>
                <w:color w:val="auto"/>
                <w:sz w:val="22"/>
                <w:szCs w:val="22"/>
                <w:highlight w:val="none"/>
                <w:lang w:val="zh-CN"/>
              </w:rPr>
              <w:t>的价格给予</w:t>
            </w: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val="zh-CN"/>
              </w:rPr>
              <w:t>%的扣除，用扣除后的价格参与评审。</w:t>
            </w:r>
          </w:p>
          <w:p w14:paraId="7A1213A7">
            <w:pPr>
              <w:keepNext w:val="0"/>
              <w:keepLines w:val="0"/>
              <w:pageBreakBefore w:val="0"/>
              <w:numPr>
                <w:ilvl w:val="0"/>
                <w:numId w:val="5"/>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79E882A">
            <w:pPr>
              <w:keepNext w:val="0"/>
              <w:keepLines w:val="0"/>
              <w:pageBreakBefore w:val="0"/>
              <w:numPr>
                <w:ilvl w:val="0"/>
                <w:numId w:val="5"/>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本次</w:t>
            </w:r>
            <w:r>
              <w:rPr>
                <w:rFonts w:hint="eastAsia"/>
                <w:color w:val="auto"/>
                <w:sz w:val="22"/>
                <w:szCs w:val="22"/>
                <w:highlight w:val="none"/>
              </w:rPr>
              <w:t>项目</w:t>
            </w:r>
            <w:r>
              <w:rPr>
                <w:rFonts w:hint="eastAsia"/>
                <w:color w:val="auto"/>
                <w:sz w:val="22"/>
                <w:szCs w:val="22"/>
                <w:highlight w:val="none"/>
                <w:lang w:val="zh-CN"/>
              </w:rPr>
              <w:t>对应的中小企业划分标准所属行业是：</w:t>
            </w:r>
            <w:r>
              <w:rPr>
                <w:rFonts w:hint="eastAsia"/>
                <w:b/>
                <w:bCs/>
                <w:color w:val="auto"/>
                <w:sz w:val="22"/>
                <w:szCs w:val="22"/>
                <w:highlight w:val="none"/>
              </w:rPr>
              <w:t>工</w:t>
            </w:r>
            <w:r>
              <w:rPr>
                <w:rFonts w:hint="eastAsia"/>
                <w:b/>
                <w:bCs/>
                <w:color w:val="auto"/>
                <w:sz w:val="22"/>
                <w:szCs w:val="22"/>
                <w:highlight w:val="none"/>
                <w:lang w:val="zh-CN"/>
              </w:rPr>
              <w:t>业</w:t>
            </w:r>
            <w:r>
              <w:rPr>
                <w:rFonts w:hint="eastAsia"/>
                <w:color w:val="auto"/>
                <w:sz w:val="22"/>
                <w:szCs w:val="22"/>
                <w:highlight w:val="none"/>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78E907">
            <w:pPr>
              <w:keepNext w:val="0"/>
              <w:keepLines w:val="0"/>
              <w:pageBreakBefore w:val="0"/>
              <w:numPr>
                <w:ilvl w:val="0"/>
                <w:numId w:val="5"/>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以联合体形式参加政府采购活动，联合体各方均为中小企业的，联合体视同中小企业。其中，联合体各方均为小微企业的，联合体视同小微企业。</w:t>
            </w:r>
          </w:p>
          <w:p w14:paraId="51D053F0">
            <w:pPr>
              <w:keepNext w:val="0"/>
              <w:keepLines w:val="0"/>
              <w:pageBreakBefore w:val="0"/>
              <w:numPr>
                <w:ilvl w:val="0"/>
                <w:numId w:val="5"/>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供应商应当出具《中小企业声明函》，否则其报价不予扣除。</w:t>
            </w:r>
          </w:p>
          <w:p w14:paraId="716CB4D9">
            <w:pPr>
              <w:keepNext w:val="0"/>
              <w:keepLines w:val="0"/>
              <w:pageBreakBefore w:val="0"/>
              <w:numPr>
                <w:ilvl w:val="0"/>
                <w:numId w:val="5"/>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残疾人福利性单位视同小微企业，享受小微企业同等的价格扣除。残疾人福利性单位参加政府采购活动时，应当提供《残疾人福利性单位声明函》。</w:t>
            </w:r>
          </w:p>
          <w:p w14:paraId="3FC36973">
            <w:pPr>
              <w:keepNext w:val="0"/>
              <w:keepLines w:val="0"/>
              <w:pageBreakBefore w:val="0"/>
              <w:numPr>
                <w:ilvl w:val="0"/>
                <w:numId w:val="5"/>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监狱企业视同小微企业，享受小微企业同等的价格扣除。监狱企业参加政府采购活动时，应当提供监狱企业声明函。</w:t>
            </w:r>
          </w:p>
          <w:p w14:paraId="1D348019">
            <w:pPr>
              <w:keepNext w:val="0"/>
              <w:keepLines w:val="0"/>
              <w:pageBreakBefore w:val="0"/>
              <w:numPr>
                <w:ilvl w:val="0"/>
                <w:numId w:val="4"/>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节能产品 、环境标志产品扶持政策说明</w:t>
            </w:r>
          </w:p>
          <w:p w14:paraId="23F7D944">
            <w:pPr>
              <w:keepNext w:val="0"/>
              <w:keepLines w:val="0"/>
              <w:pageBreakBefore w:val="0"/>
              <w:kinsoku/>
              <w:wordWrap/>
              <w:topLinePunct w:val="0"/>
              <w:autoSpaceDE w:val="0"/>
              <w:autoSpaceDN w:val="0"/>
              <w:bidi w:val="0"/>
              <w:adjustRightInd w:val="0"/>
              <w:snapToGrid/>
              <w:spacing w:line="400" w:lineRule="exact"/>
              <w:ind w:firstLine="440" w:firstLineChars="200"/>
              <w:rPr>
                <w:color w:val="auto"/>
                <w:sz w:val="22"/>
                <w:szCs w:val="22"/>
                <w:highlight w:val="none"/>
                <w:lang w:val="zh-CN"/>
              </w:rPr>
            </w:pPr>
            <w:r>
              <w:rPr>
                <w:rFonts w:hint="eastAsia"/>
                <w:color w:val="auto"/>
                <w:sz w:val="22"/>
                <w:szCs w:val="22"/>
                <w:highlight w:val="none"/>
                <w:lang w:val="zh-CN"/>
              </w:rPr>
              <w:t>供应商所投产品属于节能产品或环境标志产品，给予适当加分。</w:t>
            </w:r>
          </w:p>
          <w:p w14:paraId="238C3A39">
            <w:pPr>
              <w:keepNext w:val="0"/>
              <w:keepLines w:val="0"/>
              <w:pageBreakBefore w:val="0"/>
              <w:kinsoku/>
              <w:wordWrap/>
              <w:topLinePunct w:val="0"/>
              <w:autoSpaceDE w:val="0"/>
              <w:autoSpaceDN w:val="0"/>
              <w:bidi w:val="0"/>
              <w:adjustRightInd w:val="0"/>
              <w:snapToGrid/>
              <w:spacing w:line="400" w:lineRule="exact"/>
              <w:ind w:firstLine="440" w:firstLineChars="200"/>
              <w:rPr>
                <w:color w:val="auto"/>
                <w:sz w:val="22"/>
                <w:szCs w:val="22"/>
                <w:highlight w:val="none"/>
              </w:rPr>
            </w:pPr>
            <w:r>
              <w:rPr>
                <w:rFonts w:hint="eastAsia"/>
                <w:color w:val="auto"/>
                <w:sz w:val="22"/>
                <w:szCs w:val="22"/>
                <w:highlight w:val="none"/>
              </w:rPr>
              <w:t>详见评分细则。</w:t>
            </w:r>
          </w:p>
          <w:p w14:paraId="405665FE">
            <w:pPr>
              <w:keepNext w:val="0"/>
              <w:keepLines w:val="0"/>
              <w:pageBreakBefore w:val="0"/>
              <w:numPr>
                <w:ilvl w:val="0"/>
                <w:numId w:val="4"/>
              </w:numPr>
              <w:kinsoku/>
              <w:wordWrap/>
              <w:topLinePunct w:val="0"/>
              <w:autoSpaceDE w:val="0"/>
              <w:autoSpaceDN w:val="0"/>
              <w:bidi w:val="0"/>
              <w:adjustRightInd w:val="0"/>
              <w:snapToGrid/>
              <w:spacing w:line="400" w:lineRule="exact"/>
              <w:ind w:left="5" w:hanging="5"/>
              <w:rPr>
                <w:b/>
                <w:bCs/>
                <w:color w:val="auto"/>
                <w:sz w:val="22"/>
                <w:szCs w:val="22"/>
                <w:highlight w:val="none"/>
                <w:lang w:val="zh-CN"/>
              </w:rPr>
            </w:pPr>
            <w:r>
              <w:rPr>
                <w:rFonts w:hint="eastAsia"/>
                <w:color w:val="auto"/>
                <w:sz w:val="22"/>
                <w:szCs w:val="22"/>
                <w:highlight w:val="none"/>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b/>
                <w:bCs/>
                <w:color w:val="auto"/>
                <w:sz w:val="22"/>
                <w:szCs w:val="22"/>
                <w:highlight w:val="none"/>
              </w:rPr>
              <w:t>满足条件的投标产品须提供相应的证明资料。</w:t>
            </w:r>
          </w:p>
          <w:p w14:paraId="59C94F99">
            <w:pPr>
              <w:keepNext w:val="0"/>
              <w:keepLines w:val="0"/>
              <w:pageBreakBefore w:val="0"/>
              <w:numPr>
                <w:ilvl w:val="0"/>
                <w:numId w:val="4"/>
              </w:numPr>
              <w:kinsoku/>
              <w:wordWrap/>
              <w:topLinePunct w:val="0"/>
              <w:autoSpaceDE w:val="0"/>
              <w:autoSpaceDN w:val="0"/>
              <w:bidi w:val="0"/>
              <w:adjustRightInd w:val="0"/>
              <w:snapToGrid/>
              <w:spacing w:line="400" w:lineRule="exact"/>
              <w:rPr>
                <w:color w:val="auto"/>
                <w:sz w:val="22"/>
                <w:szCs w:val="22"/>
                <w:highlight w:val="none"/>
                <w:lang w:val="zh-CN"/>
              </w:rPr>
            </w:pPr>
            <w:r>
              <w:rPr>
                <w:rFonts w:hint="eastAsia"/>
                <w:color w:val="auto"/>
                <w:sz w:val="22"/>
                <w:szCs w:val="22"/>
                <w:highlight w:val="none"/>
                <w:lang w:val="zh-CN"/>
              </w:rPr>
              <w:t>政府采购金融服务相关信息告知函</w:t>
            </w:r>
          </w:p>
          <w:p w14:paraId="54A8DD63">
            <w:pPr>
              <w:keepNext w:val="0"/>
              <w:keepLines w:val="0"/>
              <w:pageBreakBefore w:val="0"/>
              <w:kinsoku/>
              <w:wordWrap/>
              <w:topLinePunct w:val="0"/>
              <w:autoSpaceDE w:val="0"/>
              <w:autoSpaceDN w:val="0"/>
              <w:bidi w:val="0"/>
              <w:adjustRightInd w:val="0"/>
              <w:snapToGrid/>
              <w:spacing w:line="400" w:lineRule="exact"/>
              <w:ind w:firstLine="440" w:firstLineChars="200"/>
              <w:rPr>
                <w:color w:val="auto"/>
                <w:sz w:val="22"/>
                <w:szCs w:val="22"/>
                <w:highlight w:val="none"/>
                <w:lang w:val="zh-CN"/>
              </w:rPr>
            </w:pPr>
            <w:r>
              <w:rPr>
                <w:rFonts w:hint="eastAsia"/>
                <w:color w:val="auto"/>
                <w:sz w:val="22"/>
                <w:szCs w:val="22"/>
                <w:highlight w:val="none"/>
                <w:lang w:val="zh-CN"/>
              </w:rPr>
              <w:t>为优化政府采购营商环境，缓解供应商资金难题，助力打赢疫情防控阻击战，根据浙江省财政厅印发《浙江省财政厅关于进一步发挥政府采购政策功能全力推动经济稳进提质的通知》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276E2857">
            <w:pPr>
              <w:keepNext w:val="0"/>
              <w:keepLines w:val="0"/>
              <w:pageBreakBefore w:val="0"/>
              <w:kinsoku/>
              <w:wordWrap/>
              <w:topLinePunct w:val="0"/>
              <w:autoSpaceDE w:val="0"/>
              <w:autoSpaceDN w:val="0"/>
              <w:bidi w:val="0"/>
              <w:adjustRightInd w:val="0"/>
              <w:snapToGrid/>
              <w:spacing w:line="400" w:lineRule="exact"/>
              <w:ind w:firstLine="440" w:firstLineChars="200"/>
              <w:rPr>
                <w:color w:val="auto"/>
                <w:highlight w:val="none"/>
                <w:lang w:val="zh-CN"/>
              </w:rPr>
            </w:pPr>
            <w:r>
              <w:rPr>
                <w:rFonts w:hint="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46AB43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2AAAE1">
            <w:pPr>
              <w:keepNext w:val="0"/>
              <w:keepLines w:val="0"/>
              <w:pageBreakBefore w:val="0"/>
              <w:kinsoku/>
              <w:wordWrap/>
              <w:topLinePunct w:val="0"/>
              <w:autoSpaceDE w:val="0"/>
              <w:autoSpaceDN w:val="0"/>
              <w:bidi w:val="0"/>
              <w:adjustRightInd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62D13A">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供应商信用查询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D9C1C9">
            <w:pPr>
              <w:keepNext w:val="0"/>
              <w:keepLines w:val="0"/>
              <w:pageBreakBefore w:val="0"/>
              <w:kinsoku/>
              <w:wordWrap/>
              <w:topLinePunct w:val="0"/>
              <w:bidi w:val="0"/>
              <w:snapToGrid/>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27642FD6">
            <w:pPr>
              <w:keepNext w:val="0"/>
              <w:keepLines w:val="0"/>
              <w:pageBreakBefore w:val="0"/>
              <w:kinsoku/>
              <w:wordWrap/>
              <w:topLinePunct w:val="0"/>
              <w:bidi w:val="0"/>
              <w:snapToGrid/>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（2）供应商信用信息查询记录和证据留存的具体方式：网页截图打印；</w:t>
            </w:r>
          </w:p>
          <w:p w14:paraId="16BE0F1A">
            <w:pPr>
              <w:keepNext w:val="0"/>
              <w:keepLines w:val="0"/>
              <w:pageBreakBefore w:val="0"/>
              <w:kinsoku/>
              <w:wordWrap/>
              <w:topLinePunct w:val="0"/>
              <w:bidi w:val="0"/>
              <w:snapToGrid/>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5A4C51C8">
            <w:pPr>
              <w:keepNext w:val="0"/>
              <w:keepLines w:val="0"/>
              <w:pageBreakBefore w:val="0"/>
              <w:kinsoku/>
              <w:wordWrap/>
              <w:topLinePunct w:val="0"/>
              <w:bidi w:val="0"/>
              <w:snapToGrid/>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558C03B1">
            <w:pPr>
              <w:keepNext w:val="0"/>
              <w:keepLines w:val="0"/>
              <w:pageBreakBefore w:val="0"/>
              <w:kinsoku/>
              <w:wordWrap/>
              <w:topLinePunct w:val="0"/>
              <w:bidi w:val="0"/>
              <w:snapToGrid/>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086F698A">
            <w:pPr>
              <w:keepNext w:val="0"/>
              <w:keepLines w:val="0"/>
              <w:pageBreakBefore w:val="0"/>
              <w:kinsoku/>
              <w:wordWrap/>
              <w:topLinePunct w:val="0"/>
              <w:bidi w:val="0"/>
              <w:snapToGrid/>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w:t>
            </w:r>
            <w:r>
              <w:rPr>
                <w:rFonts w:hint="eastAsia" w:ascii="宋体" w:hAnsi="宋体" w:cs="宋体"/>
                <w:b/>
                <w:bCs/>
                <w:color w:val="auto"/>
                <w:sz w:val="22"/>
                <w:szCs w:val="22"/>
                <w:highlight w:val="none"/>
              </w:rPr>
              <w:t>具有以上（3）所述信息记录的供应商，其投标</w:t>
            </w:r>
            <w:r>
              <w:rPr>
                <w:rFonts w:hint="eastAsia" w:ascii="宋体" w:hAnsi="宋体" w:cs="宋体"/>
                <w:b/>
                <w:bCs/>
                <w:color w:val="auto"/>
                <w:sz w:val="22"/>
                <w:szCs w:val="22"/>
                <w:highlight w:val="none"/>
                <w:lang w:eastAsia="zh-CN"/>
              </w:rPr>
              <w:t>作</w:t>
            </w:r>
            <w:r>
              <w:rPr>
                <w:rFonts w:hint="eastAsia" w:ascii="宋体" w:hAnsi="宋体" w:cs="宋体"/>
                <w:b/>
                <w:bCs/>
                <w:color w:val="auto"/>
                <w:sz w:val="22"/>
                <w:szCs w:val="22"/>
                <w:highlight w:val="none"/>
              </w:rPr>
              <w:t>无效投标处理。</w:t>
            </w:r>
          </w:p>
        </w:tc>
      </w:tr>
      <w:tr w14:paraId="6613379B">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CF38AD">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8103E7">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89D916">
            <w:pPr>
              <w:keepNext w:val="0"/>
              <w:keepLines w:val="0"/>
              <w:pageBreakBefore w:val="0"/>
              <w:kinsoku/>
              <w:wordWrap/>
              <w:topLinePunct w:val="0"/>
              <w:bidi w:val="0"/>
              <w:snapToGrid/>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（1）中标供应商在中标通知书发出之日起30日历天内与采购人签订合同。</w:t>
            </w:r>
          </w:p>
          <w:p w14:paraId="69E8AA74">
            <w:pPr>
              <w:keepNext w:val="0"/>
              <w:keepLines w:val="0"/>
              <w:pageBreakBefore w:val="0"/>
              <w:kinsoku/>
              <w:wordWrap/>
              <w:topLinePunct w:val="0"/>
              <w:bidi w:val="0"/>
              <w:snapToGrid/>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（2）中标供应商与采购人签订合同后，2日历天内将合同扫描件电子版发给采购代理机构：邮箱：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5449C768">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6604B0">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177082">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1D93D7">
            <w:pPr>
              <w:keepNext w:val="0"/>
              <w:keepLines w:val="0"/>
              <w:pageBreakBefore w:val="0"/>
              <w:kinsoku/>
              <w:wordWrap/>
              <w:topLinePunct w:val="0"/>
              <w:bidi w:val="0"/>
              <w:snapToGrid/>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w:t>
            </w:r>
            <w:r>
              <w:rPr>
                <w:rFonts w:hint="eastAsia" w:ascii="宋体" w:hAnsi="宋体" w:cs="宋体"/>
                <w:color w:val="auto"/>
                <w:sz w:val="22"/>
                <w:szCs w:val="22"/>
                <w:highlight w:val="none"/>
                <w:lang w:eastAsia="zh-CN"/>
              </w:rPr>
              <w:t>环</w:t>
            </w:r>
            <w:r>
              <w:rPr>
                <w:rFonts w:hint="eastAsia" w:ascii="宋体" w:hAnsi="宋体" w:cs="宋体"/>
                <w:color w:val="auto"/>
                <w:sz w:val="22"/>
                <w:szCs w:val="22"/>
                <w:highlight w:val="none"/>
              </w:rPr>
              <w:t>节，如实填写《合同验收报告》（或考核资料），并及时向同级财政部门报告验收过程中遇到的问题。</w:t>
            </w:r>
          </w:p>
        </w:tc>
      </w:tr>
      <w:tr w14:paraId="5339ED36">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14C93F">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042098">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7E2718">
            <w:pPr>
              <w:keepNext w:val="0"/>
              <w:keepLines w:val="0"/>
              <w:pageBreakBefore w:val="0"/>
              <w:kinsoku/>
              <w:wordWrap/>
              <w:topLinePunct w:val="0"/>
              <w:bidi w:val="0"/>
              <w:snapToGrid/>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FC56914">
        <w:tblPrEx>
          <w:tblCellMar>
            <w:top w:w="0" w:type="dxa"/>
            <w:left w:w="108" w:type="dxa"/>
            <w:bottom w:w="0" w:type="dxa"/>
            <w:right w:w="108" w:type="dxa"/>
          </w:tblCellMar>
        </w:tblPrEx>
        <w:trPr>
          <w:trHeight w:val="988"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111F40">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F949C8">
            <w:pPr>
              <w:keepNext w:val="0"/>
              <w:keepLines w:val="0"/>
              <w:pageBreakBefore w:val="0"/>
              <w:kinsoku/>
              <w:wordWrap/>
              <w:topLinePunct w:val="0"/>
              <w:bidi w:val="0"/>
              <w:snapToGrid/>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联合体投标相关说明</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A8F7C1">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14:paraId="4F9A1891">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617B8F4F">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14:paraId="60054540">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54C0A7FA">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（5）供应商若为联合体，投标工作由联合体牵头方制作并提交。</w:t>
            </w:r>
          </w:p>
          <w:p w14:paraId="06F871B8">
            <w:pPr>
              <w:keepNext w:val="0"/>
              <w:keepLines w:val="0"/>
              <w:pageBreakBefore w:val="0"/>
              <w:kinsoku/>
              <w:wordWrap/>
              <w:topLinePunct w:val="0"/>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250851E8">
            <w:pPr>
              <w:keepNext w:val="0"/>
              <w:keepLines w:val="0"/>
              <w:pageBreakBefore w:val="0"/>
              <w:kinsoku/>
              <w:wordWrap/>
              <w:topLinePunct w:val="0"/>
              <w:bidi w:val="0"/>
              <w:snapToGrid/>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（7）中标后，联合体各方根据联合体协议约定承担的项目采购内容与项目采购人签订采购合同。</w:t>
            </w:r>
          </w:p>
        </w:tc>
      </w:tr>
      <w:tr w14:paraId="5594FA5A">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B6A005">
            <w:pPr>
              <w:keepNext w:val="0"/>
              <w:keepLines w:val="0"/>
              <w:pageBreakBefore w:val="0"/>
              <w:kinsoku/>
              <w:wordWrap/>
              <w:topLinePunct w:val="0"/>
              <w:bidi w:val="0"/>
              <w:snapToGrid/>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EBBC8E">
            <w:pPr>
              <w:keepNext w:val="0"/>
              <w:keepLines w:val="0"/>
              <w:pageBreakBefore w:val="0"/>
              <w:kinsoku/>
              <w:wordWrap/>
              <w:topLinePunct w:val="0"/>
              <w:bidi w:val="0"/>
              <w:snapToGrid/>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采购代理服务费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F3DB04">
            <w:pPr>
              <w:keepNext w:val="0"/>
              <w:keepLines w:val="0"/>
              <w:pageBreakBefore w:val="0"/>
              <w:kinsoku/>
              <w:wordWrap/>
              <w:topLinePunct w:val="0"/>
              <w:bidi w:val="0"/>
              <w:snapToGrid/>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（1）本次采购代理服务费按固定金额人民币</w:t>
            </w:r>
            <w:r>
              <w:rPr>
                <w:rFonts w:hint="eastAsia" w:ascii="宋体" w:hAnsi="宋体" w:cs="宋体"/>
                <w:color w:val="auto"/>
                <w:sz w:val="22"/>
                <w:szCs w:val="22"/>
                <w:highlight w:val="none"/>
                <w:lang w:val="en-US" w:eastAsia="zh-CN"/>
              </w:rPr>
              <w:t>壹万壹仟贰佰贰拾叁</w:t>
            </w:r>
            <w:r>
              <w:rPr>
                <w:rFonts w:hint="eastAsia" w:ascii="宋体" w:hAnsi="宋体" w:cs="宋体"/>
                <w:color w:val="auto"/>
                <w:sz w:val="22"/>
                <w:szCs w:val="22"/>
                <w:highlight w:val="none"/>
              </w:rPr>
              <w:t>元收取，由成交单位在领取成交通知书之前支付给采购代理机构，由中标（成交）单位一次性支付给采购代理机构，投标供应商在报价时应充分考虑该部分费用；</w:t>
            </w:r>
          </w:p>
          <w:p w14:paraId="2562B90C">
            <w:pPr>
              <w:keepNext w:val="0"/>
              <w:keepLines w:val="0"/>
              <w:pageBreakBefore w:val="0"/>
              <w:kinsoku/>
              <w:wordWrap/>
              <w:topLinePunct w:val="0"/>
              <w:bidi w:val="0"/>
              <w:snapToGrid/>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（2）采购代理服务费可以是现金、支票或汇票。</w:t>
            </w:r>
          </w:p>
          <w:p w14:paraId="723D4E11">
            <w:pPr>
              <w:pStyle w:val="758"/>
              <w:keepNext w:val="0"/>
              <w:keepLines w:val="0"/>
              <w:pageBreakBefore w:val="0"/>
              <w:kinsoku/>
              <w:wordWrap/>
              <w:topLinePunct w:val="0"/>
              <w:bidi w:val="0"/>
              <w:snapToGrid/>
              <w:spacing w:line="400" w:lineRule="exact"/>
              <w:rPr>
                <w:rFonts w:hint="eastAsia" w:cs="宋体"/>
                <w:color w:val="auto"/>
                <w:sz w:val="22"/>
                <w:szCs w:val="22"/>
                <w:highlight w:val="none"/>
                <w:lang w:val="en-US" w:eastAsia="zh-CN"/>
              </w:rPr>
            </w:pPr>
            <w:r>
              <w:rPr>
                <w:rFonts w:hint="eastAsia" w:cs="宋体"/>
                <w:color w:val="auto"/>
                <w:sz w:val="22"/>
                <w:szCs w:val="22"/>
                <w:highlight w:val="none"/>
                <w:lang w:eastAsia="zh-CN"/>
              </w:rPr>
              <w:t>（</w:t>
            </w:r>
            <w:r>
              <w:rPr>
                <w:rFonts w:hint="eastAsia" w:cs="宋体"/>
                <w:color w:val="auto"/>
                <w:sz w:val="22"/>
                <w:szCs w:val="22"/>
                <w:highlight w:val="none"/>
                <w:lang w:val="en-US" w:eastAsia="zh-CN"/>
              </w:rPr>
              <w:t>3）银行信息</w:t>
            </w:r>
          </w:p>
          <w:p w14:paraId="0F06472D">
            <w:pPr>
              <w:pStyle w:val="758"/>
              <w:keepNext w:val="0"/>
              <w:keepLines w:val="0"/>
              <w:pageBreakBefore w:val="0"/>
              <w:kinsoku/>
              <w:wordWrap/>
              <w:topLinePunct w:val="0"/>
              <w:bidi w:val="0"/>
              <w:snapToGrid/>
              <w:spacing w:line="400" w:lineRule="exact"/>
              <w:ind w:firstLine="440" w:firstLineChars="200"/>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户    名:温州</w:t>
            </w:r>
            <w:r>
              <w:rPr>
                <w:rFonts w:hint="eastAsia" w:ascii="宋体" w:hAnsi="宋体" w:eastAsia="宋体" w:cs="宋体"/>
                <w:color w:val="auto"/>
                <w:sz w:val="22"/>
                <w:szCs w:val="22"/>
                <w:highlight w:val="none"/>
                <w:lang w:val="en-US" w:eastAsia="zh-CN"/>
              </w:rPr>
              <w:t>元信工程项目管理有限公司</w:t>
            </w:r>
          </w:p>
          <w:p w14:paraId="305AB11D">
            <w:pPr>
              <w:pStyle w:val="758"/>
              <w:keepNext w:val="0"/>
              <w:keepLines w:val="0"/>
              <w:pageBreakBefore w:val="0"/>
              <w:kinsoku/>
              <w:wordWrap/>
              <w:topLinePunct w:val="0"/>
              <w:bidi w:val="0"/>
              <w:snapToGrid/>
              <w:spacing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账户号码:201000300425754</w:t>
            </w:r>
          </w:p>
          <w:p w14:paraId="0AF6641B">
            <w:pPr>
              <w:pStyle w:val="758"/>
              <w:keepNext w:val="0"/>
              <w:keepLines w:val="0"/>
              <w:pageBreakBefore w:val="0"/>
              <w:kinsoku/>
              <w:wordWrap/>
              <w:topLinePunct w:val="0"/>
              <w:bidi w:val="0"/>
              <w:snapToGrid/>
              <w:spacing w:line="400" w:lineRule="exact"/>
              <w:ind w:firstLine="440" w:firstLineChars="200"/>
              <w:rPr>
                <w:color w:val="auto"/>
                <w:highlight w:val="none"/>
              </w:rPr>
            </w:pPr>
            <w:r>
              <w:rPr>
                <w:rFonts w:hint="eastAsia" w:ascii="宋体" w:hAnsi="宋体" w:eastAsia="宋体" w:cs="宋体"/>
                <w:color w:val="auto"/>
                <w:sz w:val="22"/>
                <w:szCs w:val="22"/>
                <w:highlight w:val="none"/>
                <w:lang w:val="en-US" w:eastAsia="zh-CN"/>
              </w:rPr>
              <w:t>开户银行:瓯海农村商业银行股份有限公司新桥支行高翔分理处</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0B7F1B0F">
      <w:pPr>
        <w:keepNext w:val="0"/>
        <w:keepLines w:val="0"/>
        <w:pageBreakBefore w:val="0"/>
        <w:kinsoku/>
        <w:wordWrap/>
        <w:topLinePunct w:val="0"/>
        <w:bidi w:val="0"/>
        <w:snapToGrid/>
        <w:spacing w:before="100" w:beforeAutospacing="1" w:after="100" w:afterAutospacing="1" w:line="400" w:lineRule="exact"/>
        <w:jc w:val="center"/>
        <w:outlineLvl w:val="0"/>
        <w:rPr>
          <w:rFonts w:ascii="宋体" w:hAnsi="宋体"/>
          <w:b/>
          <w:bCs/>
          <w:color w:val="auto"/>
          <w:sz w:val="26"/>
          <w:szCs w:val="26"/>
          <w:highlight w:val="none"/>
        </w:rPr>
      </w:pPr>
      <w:bookmarkStart w:id="49" w:name="_Toc241404199"/>
      <w:bookmarkStart w:id="50" w:name="_Toc249758709"/>
      <w:bookmarkStart w:id="51" w:name="_Toc12299"/>
      <w:bookmarkStart w:id="52" w:name="_Toc246261262"/>
      <w:bookmarkStart w:id="53" w:name="_Toc221374623"/>
      <w:bookmarkStart w:id="54" w:name="_Toc221423616"/>
      <w:bookmarkStart w:id="55" w:name="_Toc239145351"/>
      <w:bookmarkStart w:id="56" w:name="_Toc245722278"/>
      <w:bookmarkStart w:id="57" w:name="_Toc221356883"/>
      <w:bookmarkStart w:id="58" w:name="_Toc245191311"/>
      <w:bookmarkStart w:id="59" w:name="_Toc223715995"/>
      <w:bookmarkStart w:id="60" w:name="_Toc222114876"/>
      <w:bookmarkStart w:id="61" w:name="_Toc262105500"/>
      <w:bookmarkStart w:id="62" w:name="_Toc262049415"/>
      <w:bookmarkStart w:id="63" w:name="_Toc249758861"/>
      <w:bookmarkStart w:id="64" w:name="_Toc221356948"/>
      <w:r>
        <w:rPr>
          <w:rFonts w:hint="eastAsia" w:ascii="宋体" w:hAnsi="宋体"/>
          <w:b/>
          <w:bCs/>
          <w:color w:val="auto"/>
          <w:sz w:val="26"/>
          <w:szCs w:val="26"/>
          <w:highlight w:val="none"/>
        </w:rPr>
        <w:t>二、  说明</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503151B">
      <w:pPr>
        <w:pageBreakBefore w:val="0"/>
        <w:numPr>
          <w:ilvl w:val="0"/>
          <w:numId w:val="6"/>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bookmarkStart w:id="65" w:name="_Toc221356884"/>
      <w:bookmarkStart w:id="66" w:name="_Toc245722279"/>
      <w:bookmarkStart w:id="67" w:name="_Toc221374624"/>
      <w:bookmarkStart w:id="68" w:name="_Toc241404200"/>
      <w:bookmarkStart w:id="69" w:name="_Toc239145352"/>
      <w:bookmarkStart w:id="70" w:name="_Toc221423617"/>
      <w:bookmarkStart w:id="71" w:name="_Toc262049416"/>
      <w:bookmarkStart w:id="72" w:name="_Toc222114877"/>
      <w:bookmarkStart w:id="73" w:name="_Toc249758710"/>
      <w:bookmarkStart w:id="74" w:name="_Toc245191312"/>
      <w:bookmarkStart w:id="75" w:name="_Toc249758862"/>
      <w:bookmarkStart w:id="76" w:name="_Toc262105501"/>
      <w:bookmarkStart w:id="77" w:name="_Toc223715996"/>
      <w:bookmarkStart w:id="78" w:name="_Toc246261263"/>
      <w:bookmarkStart w:id="79" w:name="_Toc221356949"/>
      <w:r>
        <w:rPr>
          <w:rFonts w:hint="eastAsia" w:ascii="宋体" w:hAnsi="宋体" w:cs="Arial"/>
          <w:color w:val="auto"/>
          <w:sz w:val="22"/>
          <w:szCs w:val="22"/>
          <w:highlight w:val="none"/>
        </w:rPr>
        <w:t>本次招标是</w:t>
      </w:r>
      <w:r>
        <w:rPr>
          <w:rFonts w:hint="eastAsia" w:ascii="宋体" w:hAnsi="宋体" w:cs="Arial"/>
          <w:color w:val="auto"/>
          <w:sz w:val="22"/>
          <w:szCs w:val="22"/>
          <w:highlight w:val="none"/>
          <w:lang w:val="en-US" w:eastAsia="zh-CN"/>
        </w:rPr>
        <w:t>参照</w:t>
      </w:r>
      <w:r>
        <w:rPr>
          <w:rFonts w:hint="eastAsia" w:ascii="宋体" w:hAnsi="宋体" w:cs="Arial"/>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《中华人民共和国政府采购法》、《中华人民共和国政府采购法实施条例》、《政府采购货物和服务招标投标管理办法》和《关于进一步规范政府采购活动的若干意见》等法律及有关法规组织和实施的。</w:t>
      </w:r>
    </w:p>
    <w:p w14:paraId="16BFFD59">
      <w:pPr>
        <w:pageBreakBefore w:val="0"/>
        <w:numPr>
          <w:ilvl w:val="0"/>
          <w:numId w:val="6"/>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合格投标人要求以招标公告对投标人资格条件要求的表述为准。</w:t>
      </w:r>
    </w:p>
    <w:p w14:paraId="1F2792C2">
      <w:pPr>
        <w:pageBreakBefore w:val="0"/>
        <w:numPr>
          <w:ilvl w:val="0"/>
          <w:numId w:val="6"/>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投标人代表</w:t>
      </w:r>
    </w:p>
    <w:p w14:paraId="73FAA7E1">
      <w:pPr>
        <w:pageBreakBefore w:val="0"/>
        <w:kinsoku/>
        <w:wordWrap/>
        <w:topLinePunct w:val="0"/>
        <w:autoSpaceDE/>
        <w:autoSpaceDN/>
        <w:bidi w:val="0"/>
        <w:adjustRightInd/>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14:paraId="3B2F43AC">
      <w:pPr>
        <w:pageBreakBefore w:val="0"/>
        <w:numPr>
          <w:ilvl w:val="0"/>
          <w:numId w:val="6"/>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投标费用</w:t>
      </w:r>
    </w:p>
    <w:p w14:paraId="51213596">
      <w:pPr>
        <w:pageBreakBefore w:val="0"/>
        <w:kinsoku/>
        <w:wordWrap/>
        <w:topLinePunct w:val="0"/>
        <w:autoSpaceDE/>
        <w:autoSpaceDN/>
        <w:bidi w:val="0"/>
        <w:adjustRightInd/>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投标人应承担所有与准备和参加投标有关费用，不论投标的结果如何，采购人和招标代理机构均无义务和责任承担这些费用。</w:t>
      </w:r>
    </w:p>
    <w:p w14:paraId="3A0FCFD2">
      <w:pPr>
        <w:pageBreakBefore w:val="0"/>
        <w:numPr>
          <w:ilvl w:val="0"/>
          <w:numId w:val="6"/>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特别说明：</w:t>
      </w:r>
    </w:p>
    <w:p w14:paraId="47AA9923">
      <w:pPr>
        <w:pageBreakBefore w:val="0"/>
        <w:numPr>
          <w:ilvl w:val="1"/>
          <w:numId w:val="7"/>
        </w:numPr>
        <w:tabs>
          <w:tab w:val="clear" w:pos="992"/>
        </w:tabs>
        <w:kinsoku/>
        <w:wordWrap/>
        <w:topLinePunct w:val="0"/>
        <w:autoSpaceDE/>
        <w:autoSpaceDN/>
        <w:bidi w:val="0"/>
        <w:adjustRightInd/>
        <w:snapToGrid/>
        <w:spacing w:line="400" w:lineRule="exact"/>
        <w:ind w:left="636" w:leftChars="34" w:hanging="565" w:hangingChars="257"/>
        <w:textAlignment w:val="auto"/>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确认其的真实性和有效性，如出现与事实不符等情况，将根据有关规定以“提供虚假材料谋取中标”予以处理。</w:t>
      </w:r>
    </w:p>
    <w:p w14:paraId="6C9EADB5">
      <w:pPr>
        <w:pageBreakBefore w:val="0"/>
        <w:numPr>
          <w:ilvl w:val="1"/>
          <w:numId w:val="7"/>
        </w:numPr>
        <w:tabs>
          <w:tab w:val="clear" w:pos="992"/>
        </w:tabs>
        <w:kinsoku/>
        <w:wordWrap/>
        <w:topLinePunct w:val="0"/>
        <w:autoSpaceDE/>
        <w:autoSpaceDN/>
        <w:bidi w:val="0"/>
        <w:adjustRightInd/>
        <w:snapToGrid/>
        <w:spacing w:line="400" w:lineRule="exact"/>
        <w:ind w:left="636" w:leftChars="34" w:hanging="565" w:hangingChars="257"/>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70E865E3">
      <w:pPr>
        <w:pageBreakBefore w:val="0"/>
        <w:numPr>
          <w:ilvl w:val="1"/>
          <w:numId w:val="7"/>
        </w:numPr>
        <w:tabs>
          <w:tab w:val="clear" w:pos="992"/>
        </w:tabs>
        <w:kinsoku/>
        <w:wordWrap/>
        <w:topLinePunct w:val="0"/>
        <w:autoSpaceDE/>
        <w:autoSpaceDN/>
        <w:bidi w:val="0"/>
        <w:adjustRightInd/>
        <w:snapToGrid/>
        <w:spacing w:line="400" w:lineRule="exact"/>
        <w:ind w:left="636" w:leftChars="34" w:hanging="565" w:hangingChars="257"/>
        <w:textAlignment w:val="auto"/>
        <w:rPr>
          <w:rFonts w:ascii="宋体" w:hAnsi="宋体" w:cs="宋体"/>
          <w:bCs/>
          <w:color w:val="auto"/>
          <w:spacing w:val="6"/>
          <w:sz w:val="22"/>
          <w:highlight w:val="none"/>
        </w:rPr>
      </w:pPr>
      <w:bookmarkStart w:id="80"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80"/>
    </w:p>
    <w:p w14:paraId="347A751E">
      <w:pPr>
        <w:pageBreakBefore w:val="0"/>
        <w:numPr>
          <w:ilvl w:val="1"/>
          <w:numId w:val="7"/>
        </w:numPr>
        <w:tabs>
          <w:tab w:val="clear" w:pos="992"/>
        </w:tabs>
        <w:kinsoku/>
        <w:wordWrap/>
        <w:topLinePunct w:val="0"/>
        <w:autoSpaceDE/>
        <w:autoSpaceDN/>
        <w:bidi w:val="0"/>
        <w:adjustRightInd/>
        <w:snapToGrid/>
        <w:spacing w:line="400" w:lineRule="exact"/>
        <w:ind w:left="636" w:leftChars="34" w:hanging="565" w:hangingChars="257"/>
        <w:textAlignment w:val="auto"/>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585E8BE8">
      <w:pPr>
        <w:pageBreakBefore w:val="0"/>
        <w:numPr>
          <w:ilvl w:val="1"/>
          <w:numId w:val="7"/>
        </w:numPr>
        <w:tabs>
          <w:tab w:val="clear" w:pos="992"/>
        </w:tabs>
        <w:kinsoku/>
        <w:wordWrap/>
        <w:topLinePunct w:val="0"/>
        <w:autoSpaceDE/>
        <w:autoSpaceDN/>
        <w:bidi w:val="0"/>
        <w:adjustRightInd/>
        <w:snapToGrid/>
        <w:spacing w:line="400" w:lineRule="exact"/>
        <w:ind w:left="636" w:leftChars="34" w:hanging="565" w:hangingChars="257"/>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19B43FE">
      <w:pPr>
        <w:pageBreakBefore w:val="0"/>
        <w:kinsoku/>
        <w:wordWrap/>
        <w:topLinePunct w:val="0"/>
        <w:autoSpaceDE/>
        <w:autoSpaceDN/>
        <w:bidi w:val="0"/>
        <w:adjustRightInd/>
        <w:snapToGrid/>
        <w:spacing w:before="100" w:beforeAutospacing="1" w:after="100" w:afterAutospacing="1" w:line="400" w:lineRule="exact"/>
        <w:jc w:val="center"/>
        <w:textAlignment w:val="auto"/>
        <w:outlineLvl w:val="0"/>
        <w:rPr>
          <w:rFonts w:ascii="宋体" w:hAnsi="宋体"/>
          <w:b/>
          <w:bCs/>
          <w:color w:val="auto"/>
          <w:sz w:val="26"/>
          <w:szCs w:val="26"/>
          <w:highlight w:val="none"/>
        </w:rPr>
      </w:pPr>
      <w:bookmarkStart w:id="81" w:name="_Toc21146"/>
      <w:r>
        <w:rPr>
          <w:rFonts w:hint="eastAsia" w:ascii="宋体" w:hAnsi="宋体"/>
          <w:b/>
          <w:bCs/>
          <w:color w:val="auto"/>
          <w:sz w:val="26"/>
          <w:szCs w:val="26"/>
          <w:highlight w:val="none"/>
        </w:rPr>
        <w:t>三、 招标文件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1"/>
    </w:p>
    <w:p w14:paraId="6D5D6CC5">
      <w:pPr>
        <w:pageBreakBefore w:val="0"/>
        <w:numPr>
          <w:ilvl w:val="0"/>
          <w:numId w:val="8"/>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1A04CDB7">
      <w:pPr>
        <w:pageBreakBefore w:val="0"/>
        <w:numPr>
          <w:ilvl w:val="0"/>
          <w:numId w:val="8"/>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质疑</w:t>
      </w:r>
    </w:p>
    <w:p w14:paraId="04BD79B4">
      <w:pPr>
        <w:pageBreakBefore w:val="0"/>
        <w:numPr>
          <w:ilvl w:val="1"/>
          <w:numId w:val="9"/>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0B4C604">
      <w:pPr>
        <w:pageBreakBefore w:val="0"/>
        <w:numPr>
          <w:ilvl w:val="1"/>
          <w:numId w:val="9"/>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提出质疑的投标人应当是参与本项目招标活动的投标人。投标人在法定质疑期内一次性提出针对同一采购程序环节的质疑。</w:t>
      </w:r>
    </w:p>
    <w:p w14:paraId="1D24256A">
      <w:pPr>
        <w:pageBreakBefore w:val="0"/>
        <w:numPr>
          <w:ilvl w:val="0"/>
          <w:numId w:val="8"/>
        </w:numPr>
        <w:tabs>
          <w:tab w:val="clear" w:pos="420"/>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招标文件的澄清或修改</w:t>
      </w:r>
    </w:p>
    <w:p w14:paraId="49C701E7">
      <w:pPr>
        <w:pageBreakBefore w:val="0"/>
        <w:numPr>
          <w:ilvl w:val="1"/>
          <w:numId w:val="10"/>
        </w:numPr>
        <w:tabs>
          <w:tab w:val="left" w:pos="-20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3004F08D">
      <w:pPr>
        <w:pageBreakBefore w:val="0"/>
        <w:numPr>
          <w:ilvl w:val="1"/>
          <w:numId w:val="10"/>
        </w:numPr>
        <w:tabs>
          <w:tab w:val="left" w:pos="-20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0EF31FB3">
      <w:pPr>
        <w:pageBreakBefore w:val="0"/>
        <w:numPr>
          <w:ilvl w:val="1"/>
          <w:numId w:val="10"/>
        </w:numPr>
        <w:tabs>
          <w:tab w:val="left" w:pos="-20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宋体"/>
          <w:color w:val="auto"/>
          <w:sz w:val="22"/>
          <w:szCs w:val="22"/>
          <w:highlight w:val="none"/>
        </w:rPr>
      </w:pPr>
      <w:r>
        <w:rPr>
          <w:rFonts w:hint="eastAsia" w:ascii="宋体" w:hAnsi="宋体" w:cs="Arial"/>
          <w:color w:val="auto"/>
          <w:sz w:val="22"/>
          <w:szCs w:val="22"/>
          <w:highlight w:val="none"/>
        </w:rPr>
        <w:t>招标文件如有补充更正均见“浙江政府采购”（https://zfcg.czt.zj.gov.cn/）。投标人须在开标</w:t>
      </w:r>
      <w:r>
        <w:rPr>
          <w:rFonts w:hint="eastAsia" w:ascii="宋体" w:hAnsi="宋体" w:cs="宋体"/>
          <w:color w:val="auto"/>
          <w:spacing w:val="6"/>
          <w:sz w:val="22"/>
          <w:highlight w:val="none"/>
        </w:rPr>
        <w:t>前一日自行查看是否有补充更正文件，并按补充更正文件要求投标，否则责任自负。</w:t>
      </w:r>
    </w:p>
    <w:p w14:paraId="125B3BA3">
      <w:pPr>
        <w:pageBreakBefore w:val="0"/>
        <w:kinsoku/>
        <w:wordWrap/>
        <w:topLinePunct w:val="0"/>
        <w:autoSpaceDE/>
        <w:autoSpaceDN/>
        <w:bidi w:val="0"/>
        <w:adjustRightInd/>
        <w:snapToGrid/>
        <w:spacing w:before="100" w:beforeAutospacing="1" w:after="100" w:afterAutospacing="1" w:line="400" w:lineRule="exact"/>
        <w:jc w:val="center"/>
        <w:textAlignment w:val="auto"/>
        <w:outlineLvl w:val="0"/>
        <w:rPr>
          <w:rFonts w:ascii="宋体" w:hAnsi="宋体"/>
          <w:b/>
          <w:bCs/>
          <w:color w:val="auto"/>
          <w:sz w:val="26"/>
          <w:szCs w:val="26"/>
          <w:highlight w:val="none"/>
        </w:rPr>
      </w:pPr>
      <w:bookmarkStart w:id="82" w:name="_Toc239145353"/>
      <w:bookmarkStart w:id="83" w:name="_Toc223715997"/>
      <w:bookmarkStart w:id="84" w:name="_Toc889"/>
      <w:bookmarkStart w:id="85" w:name="_Toc262049417"/>
      <w:bookmarkStart w:id="86" w:name="_Toc221374625"/>
      <w:bookmarkStart w:id="87" w:name="_Toc245191313"/>
      <w:bookmarkStart w:id="88" w:name="_Toc222114878"/>
      <w:bookmarkStart w:id="89" w:name="_Toc221356885"/>
      <w:bookmarkStart w:id="90" w:name="_Toc241404201"/>
      <w:bookmarkStart w:id="91" w:name="_Toc249758711"/>
      <w:bookmarkStart w:id="92" w:name="_Toc246261264"/>
      <w:bookmarkStart w:id="93" w:name="_Toc221356950"/>
      <w:bookmarkStart w:id="94" w:name="_Toc221423618"/>
      <w:bookmarkStart w:id="95" w:name="_Toc249758863"/>
      <w:bookmarkStart w:id="96" w:name="_Toc262105502"/>
      <w:bookmarkStart w:id="97" w:name="_Toc245722280"/>
      <w:r>
        <w:rPr>
          <w:rFonts w:hint="eastAsia" w:ascii="宋体" w:hAnsi="宋体"/>
          <w:b/>
          <w:bCs/>
          <w:color w:val="auto"/>
          <w:sz w:val="26"/>
          <w:szCs w:val="26"/>
          <w:highlight w:val="none"/>
        </w:rPr>
        <w:t>四、 投标文件的编制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7A44A5D">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投标人没有按照招标文件要求提交全部资料，或者没有对招标文件各个方面做出实质性响应，导致投标被拒绝的风险由投标人自行承担。</w:t>
      </w:r>
    </w:p>
    <w:p w14:paraId="530D2ECA">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79813618">
      <w:pPr>
        <w:pageBreakBefore w:val="0"/>
        <w:tabs>
          <w:tab w:val="left" w:pos="540"/>
        </w:tabs>
        <w:kinsoku/>
        <w:wordWrap/>
        <w:topLinePunct w:val="0"/>
        <w:autoSpaceDE/>
        <w:autoSpaceDN/>
        <w:bidi w:val="0"/>
        <w:adjustRightInd/>
        <w:snapToGrid/>
        <w:spacing w:line="400" w:lineRule="exact"/>
        <w:ind w:firstLine="442" w:firstLineChars="200"/>
        <w:textAlignment w:val="auto"/>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投标文件由资格文件、商务技术文件、报</w:t>
      </w:r>
      <w:r>
        <w:rPr>
          <w:rFonts w:hint="eastAsia" w:ascii="宋体" w:hAnsi="宋体" w:eastAsia="宋体" w:cs="Arial"/>
          <w:b/>
          <w:color w:val="auto"/>
          <w:sz w:val="22"/>
          <w:szCs w:val="22"/>
          <w:highlight w:val="none"/>
          <w:u w:val="single"/>
        </w:rPr>
        <w:t>价文件</w:t>
      </w:r>
      <w:r>
        <w:rPr>
          <w:rFonts w:hint="eastAsia" w:ascii="宋体" w:hAnsi="宋体" w:eastAsia="宋体" w:cs="Arial"/>
          <w:b/>
          <w:color w:val="auto"/>
          <w:sz w:val="22"/>
          <w:szCs w:val="22"/>
          <w:highlight w:val="none"/>
          <w:u w:val="single"/>
          <w:lang w:val="en-US" w:eastAsia="zh-CN"/>
        </w:rPr>
        <w:t>和</w:t>
      </w:r>
      <w:r>
        <w:rPr>
          <w:rFonts w:hint="eastAsia" w:ascii="宋体" w:hAnsi="宋体" w:eastAsia="宋体" w:cs="Arial"/>
          <w:b/>
          <w:color w:val="auto"/>
          <w:sz w:val="22"/>
          <w:szCs w:val="22"/>
          <w:highlight w:val="none"/>
          <w:u w:val="single"/>
        </w:rPr>
        <w:t>电子投标文件</w:t>
      </w:r>
      <w:r>
        <w:rPr>
          <w:rFonts w:hint="eastAsia" w:ascii="宋体" w:hAnsi="宋体" w:eastAsia="宋体" w:cs="Arial"/>
          <w:b/>
          <w:color w:val="auto"/>
          <w:sz w:val="22"/>
          <w:szCs w:val="22"/>
          <w:highlight w:val="none"/>
          <w:u w:val="single"/>
          <w:lang w:val="en-US" w:eastAsia="zh-CN"/>
        </w:rPr>
        <w:t>四</w:t>
      </w:r>
      <w:r>
        <w:rPr>
          <w:rFonts w:hint="eastAsia" w:ascii="宋体" w:hAnsi="宋体" w:eastAsia="宋体" w:cs="Arial"/>
          <w:b/>
          <w:color w:val="auto"/>
          <w:sz w:val="22"/>
          <w:szCs w:val="22"/>
          <w:highlight w:val="none"/>
          <w:u w:val="single"/>
        </w:rPr>
        <w:t>部</w:t>
      </w:r>
      <w:r>
        <w:rPr>
          <w:rFonts w:hint="eastAsia" w:ascii="宋体" w:hAnsi="宋体" w:cs="Arial"/>
          <w:b/>
          <w:color w:val="auto"/>
          <w:sz w:val="22"/>
          <w:szCs w:val="22"/>
          <w:highlight w:val="none"/>
          <w:u w:val="single"/>
        </w:rPr>
        <w:t>分构成：</w:t>
      </w:r>
    </w:p>
    <w:p w14:paraId="6AAF9090">
      <w:pPr>
        <w:pageBreakBefore w:val="0"/>
        <w:kinsoku/>
        <w:wordWrap/>
        <w:topLinePunct w:val="0"/>
        <w:autoSpaceDE/>
        <w:autoSpaceDN/>
        <w:bidi w:val="0"/>
        <w:adjustRightInd/>
        <w:snapToGrid/>
        <w:spacing w:line="400" w:lineRule="exact"/>
        <w:ind w:left="187" w:leftChars="85" w:hanging="9" w:hangingChars="4"/>
        <w:textAlignment w:val="auto"/>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35E8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6E11F39">
            <w:pPr>
              <w:pageBreakBefore w:val="0"/>
              <w:kinsoku/>
              <w:wordWrap/>
              <w:overflowPunct w:val="0"/>
              <w:topLinePunct w:val="0"/>
              <w:autoSpaceDE/>
              <w:autoSpaceDN/>
              <w:bidi w:val="0"/>
              <w:adjustRightInd/>
              <w:snapToGrid/>
              <w:spacing w:line="400" w:lineRule="exact"/>
              <w:jc w:val="center"/>
              <w:textAlignment w:val="auto"/>
              <w:rPr>
                <w:rFonts w:asci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3E09F5ED">
            <w:pPr>
              <w:pageBreakBefore w:val="0"/>
              <w:kinsoku/>
              <w:wordWrap/>
              <w:overflowPunct w:val="0"/>
              <w:topLinePunct w:val="0"/>
              <w:autoSpaceDE/>
              <w:autoSpaceDN/>
              <w:bidi w:val="0"/>
              <w:adjustRightInd/>
              <w:snapToGrid/>
              <w:spacing w:line="400" w:lineRule="exact"/>
              <w:jc w:val="center"/>
              <w:textAlignment w:val="auto"/>
              <w:rPr>
                <w:rFonts w:ascii="宋体" w:cs="新宋体"/>
                <w:b/>
                <w:color w:val="auto"/>
                <w:sz w:val="22"/>
                <w:szCs w:val="22"/>
                <w:highlight w:val="none"/>
              </w:rPr>
            </w:pPr>
            <w:r>
              <w:rPr>
                <w:rFonts w:hint="eastAsia" w:ascii="宋体" w:hAnsi="宋体" w:cs="新宋体"/>
                <w:b/>
                <w:color w:val="auto"/>
                <w:sz w:val="22"/>
                <w:szCs w:val="22"/>
                <w:highlight w:val="none"/>
              </w:rPr>
              <w:t>内容</w:t>
            </w:r>
          </w:p>
        </w:tc>
        <w:tc>
          <w:tcPr>
            <w:tcW w:w="1523" w:type="dxa"/>
            <w:vAlign w:val="center"/>
          </w:tcPr>
          <w:p w14:paraId="1BE0E65B">
            <w:pPr>
              <w:pageBreakBefore w:val="0"/>
              <w:kinsoku/>
              <w:wordWrap/>
              <w:overflowPunct w:val="0"/>
              <w:topLinePunct w:val="0"/>
              <w:autoSpaceDE/>
              <w:autoSpaceDN/>
              <w:bidi w:val="0"/>
              <w:adjustRightInd/>
              <w:snapToGrid/>
              <w:spacing w:line="400" w:lineRule="exact"/>
              <w:jc w:val="center"/>
              <w:textAlignment w:val="auto"/>
              <w:rPr>
                <w:rFonts w:ascii="宋体" w:cs="新宋体"/>
                <w:b/>
                <w:color w:val="auto"/>
                <w:sz w:val="22"/>
                <w:szCs w:val="22"/>
                <w:highlight w:val="none"/>
              </w:rPr>
            </w:pPr>
            <w:r>
              <w:rPr>
                <w:rFonts w:hint="eastAsia" w:ascii="宋体" w:hAnsi="宋体" w:cs="新宋体"/>
                <w:b/>
                <w:color w:val="auto"/>
                <w:sz w:val="22"/>
                <w:szCs w:val="22"/>
                <w:highlight w:val="none"/>
              </w:rPr>
              <w:t>备注</w:t>
            </w:r>
          </w:p>
        </w:tc>
      </w:tr>
      <w:tr w14:paraId="61FE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444AF6D">
            <w:pPr>
              <w:pageBreakBefore w:val="0"/>
              <w:kinsoku/>
              <w:wordWrap/>
              <w:overflowPunct w:val="0"/>
              <w:topLinePunct w:val="0"/>
              <w:autoSpaceDE/>
              <w:autoSpaceDN/>
              <w:bidi w:val="0"/>
              <w:adjustRightInd/>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1</w:t>
            </w:r>
          </w:p>
        </w:tc>
        <w:tc>
          <w:tcPr>
            <w:tcW w:w="7514" w:type="dxa"/>
            <w:vAlign w:val="center"/>
          </w:tcPr>
          <w:p w14:paraId="48F3BCE1">
            <w:pPr>
              <w:pageBreakBefore w:val="0"/>
              <w:kinsoku/>
              <w:wordWrap/>
              <w:topLinePunct w:val="0"/>
              <w:autoSpaceDE/>
              <w:autoSpaceDN/>
              <w:bidi w:val="0"/>
              <w:adjustRightInd/>
              <w:snapToGrid/>
              <w:spacing w:line="400" w:lineRule="exact"/>
              <w:textAlignment w:val="auto"/>
              <w:rPr>
                <w:rFonts w:ascii="宋体" w:cs="新宋体"/>
                <w:bCs/>
                <w:color w:val="auto"/>
                <w:sz w:val="22"/>
                <w:szCs w:val="22"/>
                <w:highlight w:val="none"/>
              </w:rPr>
            </w:pPr>
            <w:r>
              <w:rPr>
                <w:rFonts w:hint="eastAsia" w:ascii="宋体" w:hAnsi="宋体"/>
                <w:color w:val="auto"/>
                <w:sz w:val="22"/>
                <w:szCs w:val="22"/>
                <w:highlight w:val="none"/>
              </w:rPr>
              <w:t>营业执照</w:t>
            </w:r>
            <w:r>
              <w:rPr>
                <w:rFonts w:ascii="宋体" w:hAnsi="宋体"/>
                <w:color w:val="auto"/>
                <w:sz w:val="22"/>
                <w:szCs w:val="22"/>
                <w:highlight w:val="none"/>
              </w:rPr>
              <w:t>(</w:t>
            </w:r>
            <w:r>
              <w:rPr>
                <w:rFonts w:hint="eastAsia" w:ascii="宋体" w:hAnsi="宋体"/>
                <w:color w:val="auto"/>
                <w:sz w:val="22"/>
                <w:szCs w:val="22"/>
                <w:highlight w:val="none"/>
              </w:rPr>
              <w:t>或事业法人登记证书或其它工商等登记证明材料；自然人参与政府采购，提供身份证</w:t>
            </w:r>
            <w:r>
              <w:rPr>
                <w:rFonts w:ascii="宋体" w:hAnsi="宋体"/>
                <w:color w:val="auto"/>
                <w:sz w:val="22"/>
                <w:szCs w:val="22"/>
                <w:highlight w:val="none"/>
              </w:rPr>
              <w:t>)</w:t>
            </w:r>
            <w:r>
              <w:rPr>
                <w:rFonts w:hint="eastAsia" w:ascii="宋体" w:hAnsi="宋体"/>
                <w:color w:val="auto"/>
                <w:sz w:val="22"/>
                <w:szCs w:val="22"/>
                <w:highlight w:val="none"/>
              </w:rPr>
              <w:t>复印件、税务登记证</w:t>
            </w:r>
            <w:r>
              <w:rPr>
                <w:rFonts w:ascii="宋体" w:hAnsi="宋体"/>
                <w:color w:val="auto"/>
                <w:sz w:val="22"/>
                <w:szCs w:val="22"/>
                <w:highlight w:val="none"/>
              </w:rPr>
              <w:t>(</w:t>
            </w:r>
            <w:r>
              <w:rPr>
                <w:rFonts w:hint="eastAsia" w:ascii="宋体" w:hAnsi="宋体"/>
                <w:color w:val="auto"/>
                <w:sz w:val="22"/>
                <w:szCs w:val="22"/>
                <w:highlight w:val="none"/>
              </w:rPr>
              <w:t>或其它缴纳证明材料</w:t>
            </w:r>
            <w:r>
              <w:rPr>
                <w:rFonts w:ascii="宋体" w:hAnsi="宋体"/>
                <w:color w:val="auto"/>
                <w:sz w:val="22"/>
                <w:szCs w:val="22"/>
                <w:highlight w:val="none"/>
              </w:rPr>
              <w:t>)</w:t>
            </w:r>
            <w:r>
              <w:rPr>
                <w:rFonts w:hint="eastAsia" w:ascii="宋体" w:hAnsi="宋体"/>
                <w:color w:val="auto"/>
                <w:sz w:val="22"/>
                <w:szCs w:val="22"/>
                <w:highlight w:val="none"/>
              </w:rPr>
              <w:t>复印件、社保登记证（或其它缴纳证明材料）复印件；实施“五证合一、一照一码”登记制度改革的，只需提供改革后取得的营业执照复印件；</w:t>
            </w:r>
          </w:p>
        </w:tc>
        <w:tc>
          <w:tcPr>
            <w:tcW w:w="1523" w:type="dxa"/>
            <w:vAlign w:val="center"/>
          </w:tcPr>
          <w:p w14:paraId="703ECB61">
            <w:pPr>
              <w:pageBreakBefore w:val="0"/>
              <w:kinsoku/>
              <w:wordWrap/>
              <w:overflowPunct w:val="0"/>
              <w:topLinePunct w:val="0"/>
              <w:autoSpaceDE/>
              <w:autoSpaceDN/>
              <w:bidi w:val="0"/>
              <w:adjustRightInd/>
              <w:snapToGrid/>
              <w:spacing w:line="400" w:lineRule="exact"/>
              <w:jc w:val="center"/>
              <w:textAlignment w:val="auto"/>
              <w:rPr>
                <w:rFonts w:ascii="宋体" w:cs="新宋体"/>
                <w:b/>
                <w:color w:val="auto"/>
                <w:sz w:val="22"/>
                <w:szCs w:val="22"/>
                <w:highlight w:val="none"/>
              </w:rPr>
            </w:pPr>
          </w:p>
        </w:tc>
      </w:tr>
      <w:tr w14:paraId="40DC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BFBEE21">
            <w:pPr>
              <w:pageBreakBefore w:val="0"/>
              <w:kinsoku/>
              <w:wordWrap/>
              <w:overflowPunct w:val="0"/>
              <w:topLinePunct w:val="0"/>
              <w:autoSpaceDE/>
              <w:autoSpaceDN/>
              <w:bidi w:val="0"/>
              <w:adjustRightInd/>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2</w:t>
            </w:r>
          </w:p>
        </w:tc>
        <w:tc>
          <w:tcPr>
            <w:tcW w:w="7514" w:type="dxa"/>
            <w:vAlign w:val="center"/>
          </w:tcPr>
          <w:p w14:paraId="45EE4507">
            <w:pPr>
              <w:pageBreakBefore w:val="0"/>
              <w:kinsoku/>
              <w:wordWrap/>
              <w:topLinePunct w:val="0"/>
              <w:autoSpaceDE/>
              <w:autoSpaceDN/>
              <w:bidi w:val="0"/>
              <w:adjustRightInd/>
              <w:snapToGrid/>
              <w:spacing w:line="400" w:lineRule="exact"/>
              <w:textAlignment w:val="auto"/>
              <w:rPr>
                <w:rFonts w:ascii="宋体" w:cs="新宋体"/>
                <w:bCs/>
                <w:color w:val="auto"/>
                <w:sz w:val="22"/>
                <w:szCs w:val="22"/>
                <w:highlight w:val="none"/>
              </w:rPr>
            </w:pPr>
            <w:r>
              <w:rPr>
                <w:rFonts w:hint="eastAsia" w:ascii="宋体" w:cs="新宋体"/>
                <w:bCs/>
                <w:color w:val="auto"/>
                <w:sz w:val="22"/>
                <w:szCs w:val="22"/>
                <w:highlight w:val="none"/>
              </w:rPr>
              <w:t>法定代表人声明书或法定代表人授权书</w:t>
            </w:r>
          </w:p>
        </w:tc>
        <w:tc>
          <w:tcPr>
            <w:tcW w:w="1523" w:type="dxa"/>
            <w:vMerge w:val="restart"/>
            <w:vAlign w:val="center"/>
          </w:tcPr>
          <w:p w14:paraId="5F14122C">
            <w:pPr>
              <w:pageBreakBefore w:val="0"/>
              <w:kinsoku/>
              <w:wordWrap/>
              <w:topLinePunct w:val="0"/>
              <w:autoSpaceDE/>
              <w:autoSpaceDN/>
              <w:bidi w:val="0"/>
              <w:adjustRightInd/>
              <w:snapToGrid/>
              <w:spacing w:line="400" w:lineRule="exact"/>
              <w:jc w:val="center"/>
              <w:textAlignment w:val="auto"/>
              <w:rPr>
                <w:rFonts w:ascii="宋体" w:cs="新宋体"/>
                <w:bCs/>
                <w:color w:val="auto"/>
                <w:sz w:val="22"/>
                <w:szCs w:val="22"/>
                <w:highlight w:val="none"/>
              </w:rPr>
            </w:pPr>
            <w:r>
              <w:rPr>
                <w:rFonts w:hint="eastAsia" w:ascii="宋体" w:hAnsi="宋体" w:cs="新宋体"/>
                <w:bCs/>
                <w:color w:val="auto"/>
                <w:sz w:val="22"/>
                <w:szCs w:val="22"/>
                <w:highlight w:val="none"/>
              </w:rPr>
              <w:t>附件一</w:t>
            </w:r>
          </w:p>
        </w:tc>
      </w:tr>
      <w:tr w14:paraId="2F8C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BDF3A31">
            <w:pPr>
              <w:pageBreakBefore w:val="0"/>
              <w:kinsoku/>
              <w:wordWrap/>
              <w:overflowPunct w:val="0"/>
              <w:topLinePunct w:val="0"/>
              <w:autoSpaceDE/>
              <w:autoSpaceDN/>
              <w:bidi w:val="0"/>
              <w:adjustRightInd/>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3</w:t>
            </w:r>
          </w:p>
        </w:tc>
        <w:tc>
          <w:tcPr>
            <w:tcW w:w="7514" w:type="dxa"/>
            <w:vAlign w:val="center"/>
          </w:tcPr>
          <w:p w14:paraId="0A131FCB">
            <w:pPr>
              <w:pageBreakBefore w:val="0"/>
              <w:kinsoku/>
              <w:wordWrap/>
              <w:topLinePunct w:val="0"/>
              <w:autoSpaceDE/>
              <w:autoSpaceDN/>
              <w:bidi w:val="0"/>
              <w:adjustRightInd/>
              <w:snapToGrid/>
              <w:spacing w:line="400" w:lineRule="exact"/>
              <w:textAlignment w:val="auto"/>
              <w:rPr>
                <w:rFonts w:ascii="宋体" w:cs="新宋体"/>
                <w:bCs/>
                <w:color w:val="auto"/>
                <w:sz w:val="22"/>
                <w:szCs w:val="22"/>
                <w:highlight w:val="none"/>
              </w:rPr>
            </w:pPr>
            <w:r>
              <w:rPr>
                <w:rFonts w:hint="eastAsia" w:ascii="宋体" w:cs="新宋体"/>
                <w:bCs/>
                <w:color w:val="auto"/>
                <w:sz w:val="22"/>
                <w:szCs w:val="22"/>
                <w:highlight w:val="none"/>
              </w:rPr>
              <w:t>投标供应商参与采购活动投标资格声明函</w:t>
            </w:r>
          </w:p>
        </w:tc>
        <w:tc>
          <w:tcPr>
            <w:tcW w:w="1523" w:type="dxa"/>
            <w:vMerge w:val="continue"/>
            <w:vAlign w:val="center"/>
          </w:tcPr>
          <w:p w14:paraId="2B025830">
            <w:pPr>
              <w:pageBreakBefore w:val="0"/>
              <w:kinsoku/>
              <w:wordWrap/>
              <w:topLinePunct w:val="0"/>
              <w:autoSpaceDE/>
              <w:autoSpaceDN/>
              <w:bidi w:val="0"/>
              <w:adjustRightInd/>
              <w:snapToGrid/>
              <w:spacing w:line="400" w:lineRule="exact"/>
              <w:jc w:val="center"/>
              <w:textAlignment w:val="auto"/>
              <w:rPr>
                <w:rFonts w:ascii="宋体" w:cs="新宋体"/>
                <w:bCs/>
                <w:color w:val="auto"/>
                <w:sz w:val="22"/>
                <w:szCs w:val="22"/>
                <w:highlight w:val="none"/>
              </w:rPr>
            </w:pPr>
          </w:p>
        </w:tc>
      </w:tr>
      <w:tr w14:paraId="0A27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48D7C33">
            <w:pPr>
              <w:pageBreakBefore w:val="0"/>
              <w:kinsoku/>
              <w:wordWrap/>
              <w:overflowPunct w:val="0"/>
              <w:topLinePunct w:val="0"/>
              <w:autoSpaceDE/>
              <w:autoSpaceDN/>
              <w:bidi w:val="0"/>
              <w:adjustRightInd/>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4</w:t>
            </w:r>
          </w:p>
        </w:tc>
        <w:tc>
          <w:tcPr>
            <w:tcW w:w="7514" w:type="dxa"/>
            <w:vAlign w:val="center"/>
          </w:tcPr>
          <w:p w14:paraId="38057AC0">
            <w:pPr>
              <w:pageBreakBefore w:val="0"/>
              <w:kinsoku/>
              <w:wordWrap/>
              <w:topLinePunct w:val="0"/>
              <w:autoSpaceDE/>
              <w:autoSpaceDN/>
              <w:bidi w:val="0"/>
              <w:adjustRightInd/>
              <w:snapToGrid/>
              <w:spacing w:line="400" w:lineRule="exact"/>
              <w:textAlignment w:val="auto"/>
              <w:rPr>
                <w:rFonts w:ascii="宋体" w:cs="新宋体"/>
                <w:bCs/>
                <w:color w:val="auto"/>
                <w:sz w:val="22"/>
                <w:szCs w:val="22"/>
                <w:highlight w:val="none"/>
              </w:rPr>
            </w:pPr>
            <w:r>
              <w:rPr>
                <w:rFonts w:hint="eastAsia" w:ascii="宋体" w:cs="新宋体"/>
                <w:bCs/>
                <w:color w:val="auto"/>
                <w:sz w:val="22"/>
                <w:szCs w:val="22"/>
                <w:highlight w:val="none"/>
              </w:rPr>
              <w:t>诚信投标承诺书</w:t>
            </w:r>
          </w:p>
        </w:tc>
        <w:tc>
          <w:tcPr>
            <w:tcW w:w="1523" w:type="dxa"/>
            <w:vMerge w:val="continue"/>
            <w:vAlign w:val="center"/>
          </w:tcPr>
          <w:p w14:paraId="4AA4F6E1">
            <w:pPr>
              <w:pageBreakBefore w:val="0"/>
              <w:kinsoku/>
              <w:wordWrap/>
              <w:topLinePunct w:val="0"/>
              <w:autoSpaceDE/>
              <w:autoSpaceDN/>
              <w:bidi w:val="0"/>
              <w:adjustRightInd/>
              <w:snapToGrid/>
              <w:spacing w:line="400" w:lineRule="exact"/>
              <w:jc w:val="center"/>
              <w:textAlignment w:val="auto"/>
              <w:rPr>
                <w:rFonts w:ascii="宋体"/>
                <w:color w:val="auto"/>
                <w:sz w:val="22"/>
                <w:szCs w:val="22"/>
                <w:highlight w:val="none"/>
              </w:rPr>
            </w:pPr>
          </w:p>
        </w:tc>
      </w:tr>
      <w:tr w14:paraId="2102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71375C0">
            <w:pPr>
              <w:pageBreakBefore w:val="0"/>
              <w:kinsoku/>
              <w:wordWrap/>
              <w:overflowPunct w:val="0"/>
              <w:topLinePunct w:val="0"/>
              <w:autoSpaceDE/>
              <w:autoSpaceDN/>
              <w:bidi w:val="0"/>
              <w:adjustRightInd/>
              <w:snapToGrid/>
              <w:spacing w:line="400" w:lineRule="exact"/>
              <w:jc w:val="center"/>
              <w:textAlignment w:val="auto"/>
              <w:rPr>
                <w:rFonts w:ascii="宋体" w:hAnsi="宋体" w:cs="新宋体"/>
                <w:bCs/>
                <w:color w:val="auto"/>
                <w:sz w:val="22"/>
                <w:szCs w:val="22"/>
                <w:highlight w:val="none"/>
              </w:rPr>
            </w:pPr>
            <w:r>
              <w:rPr>
                <w:rFonts w:hint="eastAsia" w:ascii="宋体" w:cs="新宋体"/>
                <w:bCs/>
                <w:color w:val="auto"/>
                <w:sz w:val="22"/>
                <w:szCs w:val="22"/>
                <w:highlight w:val="none"/>
              </w:rPr>
              <w:t>5</w:t>
            </w:r>
          </w:p>
        </w:tc>
        <w:tc>
          <w:tcPr>
            <w:tcW w:w="7514" w:type="dxa"/>
            <w:vAlign w:val="center"/>
          </w:tcPr>
          <w:p w14:paraId="3AA5C4E2">
            <w:pPr>
              <w:pageBreakBefore w:val="0"/>
              <w:kinsoku/>
              <w:wordWrap/>
              <w:topLinePunct w:val="0"/>
              <w:autoSpaceDE/>
              <w:autoSpaceDN/>
              <w:bidi w:val="0"/>
              <w:adjustRightInd/>
              <w:snapToGrid/>
              <w:spacing w:line="400" w:lineRule="exact"/>
              <w:textAlignment w:val="auto"/>
              <w:rPr>
                <w:rFonts w:ascii="宋体" w:hAnsi="宋体" w:cs="宋体"/>
                <w:bCs/>
                <w:color w:val="auto"/>
                <w:sz w:val="22"/>
                <w:szCs w:val="22"/>
                <w:highlight w:val="none"/>
              </w:rPr>
            </w:pPr>
            <w:r>
              <w:rPr>
                <w:rFonts w:hint="eastAsia" w:ascii="宋体" w:hAnsi="宋体" w:cs="宋体"/>
                <w:color w:val="auto"/>
                <w:kern w:val="0"/>
                <w:sz w:val="22"/>
                <w:szCs w:val="22"/>
                <w:highlight w:val="none"/>
              </w:rPr>
              <w:t>联合体协议书（如有，非联合体无需提供）</w:t>
            </w:r>
          </w:p>
        </w:tc>
        <w:tc>
          <w:tcPr>
            <w:tcW w:w="1523" w:type="dxa"/>
            <w:vMerge w:val="continue"/>
            <w:vAlign w:val="center"/>
          </w:tcPr>
          <w:p w14:paraId="3DD1F9A3">
            <w:pPr>
              <w:pageBreakBefore w:val="0"/>
              <w:kinsoku/>
              <w:wordWrap/>
              <w:topLinePunct w:val="0"/>
              <w:autoSpaceDE/>
              <w:autoSpaceDN/>
              <w:bidi w:val="0"/>
              <w:adjustRightInd/>
              <w:snapToGrid/>
              <w:spacing w:line="400" w:lineRule="exact"/>
              <w:jc w:val="center"/>
              <w:textAlignment w:val="auto"/>
              <w:rPr>
                <w:rFonts w:ascii="宋体"/>
                <w:color w:val="auto"/>
                <w:sz w:val="22"/>
                <w:szCs w:val="22"/>
                <w:highlight w:val="none"/>
              </w:rPr>
            </w:pPr>
          </w:p>
        </w:tc>
      </w:tr>
      <w:tr w14:paraId="7C88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5639A2A">
            <w:pPr>
              <w:pageBreakBefore w:val="0"/>
              <w:kinsoku/>
              <w:wordWrap/>
              <w:overflowPunct w:val="0"/>
              <w:topLinePunct w:val="0"/>
              <w:autoSpaceDE/>
              <w:autoSpaceDN/>
              <w:bidi w:val="0"/>
              <w:adjustRightInd/>
              <w:snapToGrid/>
              <w:spacing w:line="400" w:lineRule="exact"/>
              <w:jc w:val="center"/>
              <w:textAlignment w:val="auto"/>
              <w:rPr>
                <w:rFonts w:ascii="宋体" w:cs="新宋体"/>
                <w:bCs/>
                <w:color w:val="auto"/>
                <w:sz w:val="22"/>
                <w:szCs w:val="22"/>
                <w:highlight w:val="none"/>
              </w:rPr>
            </w:pPr>
            <w:r>
              <w:rPr>
                <w:rFonts w:hint="eastAsia" w:ascii="宋体" w:cs="新宋体"/>
                <w:bCs/>
                <w:color w:val="auto"/>
                <w:sz w:val="22"/>
                <w:szCs w:val="22"/>
                <w:highlight w:val="none"/>
              </w:rPr>
              <w:t>6</w:t>
            </w:r>
          </w:p>
        </w:tc>
        <w:tc>
          <w:tcPr>
            <w:tcW w:w="7514" w:type="dxa"/>
            <w:vAlign w:val="center"/>
          </w:tcPr>
          <w:p w14:paraId="307E0D0E">
            <w:pPr>
              <w:pageBreakBefore w:val="0"/>
              <w:kinsoku/>
              <w:wordWrap/>
              <w:topLinePunct w:val="0"/>
              <w:autoSpaceDE/>
              <w:autoSpaceDN/>
              <w:bidi w:val="0"/>
              <w:adjustRightInd/>
              <w:snapToGrid/>
              <w:spacing w:line="400" w:lineRule="exact"/>
              <w:textAlignment w:val="auto"/>
              <w:rPr>
                <w:rFonts w:ascii="宋体" w:cs="新宋体"/>
                <w:bCs/>
                <w:color w:val="auto"/>
                <w:sz w:val="22"/>
                <w:szCs w:val="22"/>
                <w:highlight w:val="none"/>
              </w:rPr>
            </w:pPr>
            <w:r>
              <w:rPr>
                <w:rFonts w:hint="eastAsia" w:ascii="宋体" w:hAnsi="宋体" w:cs="新宋体"/>
                <w:bCs/>
                <w:color w:val="auto"/>
                <w:sz w:val="22"/>
                <w:szCs w:val="22"/>
                <w:highlight w:val="none"/>
              </w:rPr>
              <w:t>供应商“信用中国”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14:paraId="21282873">
            <w:pPr>
              <w:pageBreakBefore w:val="0"/>
              <w:kinsoku/>
              <w:wordWrap/>
              <w:topLinePunct w:val="0"/>
              <w:autoSpaceDE/>
              <w:autoSpaceDN/>
              <w:bidi w:val="0"/>
              <w:adjustRightInd/>
              <w:snapToGrid/>
              <w:spacing w:line="400" w:lineRule="exact"/>
              <w:jc w:val="center"/>
              <w:textAlignment w:val="auto"/>
              <w:rPr>
                <w:rFonts w:ascii="宋体" w:cs="新宋体"/>
                <w:bCs/>
                <w:color w:val="auto"/>
                <w:sz w:val="22"/>
                <w:szCs w:val="22"/>
                <w:highlight w:val="none"/>
              </w:rPr>
            </w:pPr>
          </w:p>
        </w:tc>
      </w:tr>
    </w:tbl>
    <w:p w14:paraId="378C9393">
      <w:pPr>
        <w:pageBreakBefore w:val="0"/>
        <w:kinsoku/>
        <w:wordWrap/>
        <w:topLinePunct w:val="0"/>
        <w:autoSpaceDE/>
        <w:autoSpaceDN/>
        <w:bidi w:val="0"/>
        <w:adjustRightInd/>
        <w:snapToGrid/>
        <w:spacing w:line="400" w:lineRule="exact"/>
        <w:ind w:left="187" w:leftChars="85" w:hanging="9" w:hangingChars="4"/>
        <w:textAlignment w:val="auto"/>
        <w:rPr>
          <w:rFonts w:ascii="宋体" w:cs="楷体"/>
          <w:b/>
          <w:color w:val="auto"/>
          <w:sz w:val="22"/>
          <w:szCs w:val="22"/>
          <w:highlight w:val="none"/>
        </w:rPr>
      </w:pPr>
      <w:r>
        <w:rPr>
          <w:rFonts w:hint="eastAsia" w:ascii="宋体" w:hAnsi="宋体" w:cs="楷体"/>
          <w:b/>
          <w:color w:val="auto"/>
          <w:sz w:val="22"/>
          <w:szCs w:val="22"/>
          <w:highlight w:val="none"/>
        </w:rPr>
        <w:t>备注：</w:t>
      </w:r>
    </w:p>
    <w:p w14:paraId="30E082B7">
      <w:pPr>
        <w:pageBreakBefore w:val="0"/>
        <w:numPr>
          <w:ilvl w:val="0"/>
          <w:numId w:val="12"/>
        </w:numPr>
        <w:kinsoku/>
        <w:wordWrap/>
        <w:topLinePunct w:val="0"/>
        <w:autoSpaceDE/>
        <w:autoSpaceDN/>
        <w:bidi w:val="0"/>
        <w:adjustRightInd/>
        <w:snapToGrid/>
        <w:spacing w:line="400" w:lineRule="exact"/>
        <w:textAlignment w:val="auto"/>
        <w:rPr>
          <w:rFonts w:asci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B0B774E">
      <w:pPr>
        <w:pageBreakBefore w:val="0"/>
        <w:kinsoku/>
        <w:wordWrap/>
        <w:topLinePunct w:val="0"/>
        <w:autoSpaceDE/>
        <w:autoSpaceDN/>
        <w:bidi w:val="0"/>
        <w:adjustRightInd/>
        <w:snapToGrid/>
        <w:spacing w:line="400" w:lineRule="exact"/>
        <w:textAlignment w:val="auto"/>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4C68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F1EF3E">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7513" w:type="dxa"/>
            <w:vAlign w:val="center"/>
          </w:tcPr>
          <w:p w14:paraId="27A8F50C">
            <w:pPr>
              <w:pageBreakBefore w:val="0"/>
              <w:kinsoku/>
              <w:wordWrap/>
              <w:topLinePunct w:val="0"/>
              <w:autoSpaceDE/>
              <w:autoSpaceDN/>
              <w:bidi w:val="0"/>
              <w:adjustRightInd/>
              <w:snapToGrid/>
              <w:spacing w:line="400" w:lineRule="exact"/>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24" w:type="dxa"/>
            <w:vAlign w:val="center"/>
          </w:tcPr>
          <w:p w14:paraId="78E3495B">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1A21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BD0FF7E">
            <w:pPr>
              <w:pageBreakBefore w:val="0"/>
              <w:kinsoku/>
              <w:wordWrap/>
              <w:overflowPunct w:val="0"/>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r>
              <w:rPr>
                <w:rFonts w:ascii="宋体" w:hAnsi="宋体" w:cs="新宋体"/>
                <w:bCs/>
                <w:color w:val="auto"/>
                <w:sz w:val="22"/>
                <w:szCs w:val="22"/>
                <w:highlight w:val="none"/>
              </w:rPr>
              <w:t>1</w:t>
            </w:r>
          </w:p>
        </w:tc>
        <w:tc>
          <w:tcPr>
            <w:tcW w:w="7513" w:type="dxa"/>
            <w:vAlign w:val="center"/>
          </w:tcPr>
          <w:p w14:paraId="4F1C531D">
            <w:pPr>
              <w:pageBreakBefore w:val="0"/>
              <w:kinsoku/>
              <w:wordWrap/>
              <w:topLinePunct w:val="0"/>
              <w:autoSpaceDE/>
              <w:autoSpaceDN/>
              <w:bidi w:val="0"/>
              <w:adjustRightInd/>
              <w:snapToGrid/>
              <w:spacing w:line="400" w:lineRule="exact"/>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24" w:type="dxa"/>
            <w:vMerge w:val="restart"/>
            <w:vAlign w:val="center"/>
          </w:tcPr>
          <w:p w14:paraId="1B2940EC">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14:paraId="27F3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85CC1AA">
            <w:pPr>
              <w:pageBreakBefore w:val="0"/>
              <w:kinsoku/>
              <w:wordWrap/>
              <w:overflowPunct w:val="0"/>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r>
              <w:rPr>
                <w:rFonts w:ascii="宋体" w:hAnsi="宋体" w:cs="新宋体"/>
                <w:bCs/>
                <w:color w:val="auto"/>
                <w:sz w:val="22"/>
                <w:szCs w:val="22"/>
                <w:highlight w:val="none"/>
              </w:rPr>
              <w:t>2</w:t>
            </w:r>
          </w:p>
        </w:tc>
        <w:tc>
          <w:tcPr>
            <w:tcW w:w="7513" w:type="dxa"/>
            <w:vAlign w:val="center"/>
          </w:tcPr>
          <w:p w14:paraId="3DC13AE1">
            <w:pPr>
              <w:pageBreakBefore w:val="0"/>
              <w:kinsoku/>
              <w:wordWrap/>
              <w:topLinePunct w:val="0"/>
              <w:autoSpaceDE/>
              <w:autoSpaceDN/>
              <w:bidi w:val="0"/>
              <w:adjustRightInd/>
              <w:snapToGrid/>
              <w:spacing w:line="400" w:lineRule="exact"/>
              <w:jc w:val="left"/>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分项报价表</w:t>
            </w:r>
          </w:p>
        </w:tc>
        <w:tc>
          <w:tcPr>
            <w:tcW w:w="1524" w:type="dxa"/>
            <w:vMerge w:val="continue"/>
            <w:vAlign w:val="center"/>
          </w:tcPr>
          <w:p w14:paraId="1D817C70">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p>
        </w:tc>
      </w:tr>
      <w:tr w14:paraId="047C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83FBF9">
            <w:pPr>
              <w:pageBreakBefore w:val="0"/>
              <w:kinsoku/>
              <w:wordWrap/>
              <w:overflowPunct w:val="0"/>
              <w:topLinePunct w:val="0"/>
              <w:autoSpaceDE/>
              <w:autoSpaceDN/>
              <w:bidi w:val="0"/>
              <w:adjustRightInd/>
              <w:snapToGrid/>
              <w:spacing w:line="400" w:lineRule="exact"/>
              <w:jc w:val="center"/>
              <w:textAlignment w:val="auto"/>
              <w:rPr>
                <w:rFonts w:ascii="宋体" w:hAnsi="宋体" w:cs="hakuyoxingshu7000"/>
                <w:color w:val="auto"/>
                <w:kern w:val="0"/>
                <w:sz w:val="22"/>
                <w:szCs w:val="22"/>
                <w:highlight w:val="none"/>
              </w:rPr>
            </w:pPr>
            <w:r>
              <w:rPr>
                <w:rFonts w:ascii="宋体" w:hAnsi="宋体" w:cs="新宋体"/>
                <w:bCs/>
                <w:color w:val="auto"/>
                <w:sz w:val="22"/>
                <w:szCs w:val="22"/>
                <w:highlight w:val="none"/>
              </w:rPr>
              <w:t>3</w:t>
            </w:r>
          </w:p>
        </w:tc>
        <w:tc>
          <w:tcPr>
            <w:tcW w:w="7513" w:type="dxa"/>
            <w:vAlign w:val="center"/>
          </w:tcPr>
          <w:p w14:paraId="2B3660B4">
            <w:pPr>
              <w:pageBreakBefore w:val="0"/>
              <w:kinsoku/>
              <w:wordWrap/>
              <w:topLinePunct w:val="0"/>
              <w:autoSpaceDE/>
              <w:autoSpaceDN/>
              <w:bidi w:val="0"/>
              <w:adjustRightInd/>
              <w:snapToGrid/>
              <w:spacing w:line="400" w:lineRule="exact"/>
              <w:textAlignment w:val="auto"/>
              <w:rPr>
                <w:rFonts w:ascii="宋体" w:cs="新宋体"/>
                <w:b w:val="0"/>
                <w:bCs/>
                <w:color w:val="auto"/>
                <w:sz w:val="22"/>
                <w:szCs w:val="22"/>
                <w:highlight w:val="none"/>
              </w:rPr>
            </w:pPr>
            <w:r>
              <w:rPr>
                <w:rFonts w:hint="eastAsia" w:ascii="宋体" w:cs="新宋体"/>
                <w:b w:val="0"/>
                <w:bCs/>
                <w:color w:val="auto"/>
                <w:sz w:val="22"/>
                <w:szCs w:val="22"/>
                <w:highlight w:val="none"/>
              </w:rPr>
              <w:t>小微企业（或监狱企业、残疾人福利单位）声明函</w:t>
            </w:r>
            <w:r>
              <w:rPr>
                <w:rFonts w:hint="eastAsia" w:ascii="宋体" w:hAnsi="宋体"/>
                <w:b w:val="0"/>
                <w:bCs/>
                <w:color w:val="auto"/>
                <w:sz w:val="22"/>
                <w:szCs w:val="22"/>
                <w:highlight w:val="none"/>
                <w:lang w:eastAsia="zh-CN"/>
              </w:rPr>
              <w:t>（</w:t>
            </w:r>
            <w:r>
              <w:rPr>
                <w:rFonts w:hint="eastAsia" w:ascii="宋体" w:hAnsi="宋体"/>
                <w:b w:val="0"/>
                <w:bCs/>
                <w:color w:val="auto"/>
                <w:sz w:val="22"/>
                <w:szCs w:val="22"/>
                <w:highlight w:val="none"/>
                <w:lang w:val="en-US" w:eastAsia="zh-CN"/>
              </w:rPr>
              <w:t>如有）</w:t>
            </w:r>
          </w:p>
        </w:tc>
        <w:tc>
          <w:tcPr>
            <w:tcW w:w="1524" w:type="dxa"/>
            <w:vMerge w:val="continue"/>
            <w:vAlign w:val="center"/>
          </w:tcPr>
          <w:p w14:paraId="06D154C4">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p>
        </w:tc>
      </w:tr>
      <w:tr w14:paraId="290E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82C6DB7">
            <w:pPr>
              <w:pageBreakBefore w:val="0"/>
              <w:kinsoku/>
              <w:wordWrap/>
              <w:overflowPunct w:val="0"/>
              <w:topLinePunct w:val="0"/>
              <w:autoSpaceDE/>
              <w:autoSpaceDN/>
              <w:bidi w:val="0"/>
              <w:adjustRightInd/>
              <w:snapToGrid/>
              <w:spacing w:line="400" w:lineRule="exact"/>
              <w:jc w:val="center"/>
              <w:textAlignment w:val="auto"/>
              <w:rPr>
                <w:rFonts w:hint="eastAsia" w:ascii="宋体" w:hAnsi="宋体" w:eastAsia="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4</w:t>
            </w:r>
          </w:p>
        </w:tc>
        <w:tc>
          <w:tcPr>
            <w:tcW w:w="7513" w:type="dxa"/>
            <w:vAlign w:val="center"/>
          </w:tcPr>
          <w:p w14:paraId="6BF48241">
            <w:pPr>
              <w:pageBreakBefore w:val="0"/>
              <w:kinsoku/>
              <w:wordWrap/>
              <w:topLinePunct w:val="0"/>
              <w:autoSpaceDE/>
              <w:autoSpaceDN/>
              <w:bidi w:val="0"/>
              <w:adjustRightInd/>
              <w:snapToGrid/>
              <w:spacing w:line="400" w:lineRule="exact"/>
              <w:textAlignment w:val="auto"/>
              <w:rPr>
                <w:rFonts w:hint="default" w:ascii="宋体" w:eastAsia="宋体" w:cs="新宋体"/>
                <w:b w:val="0"/>
                <w:bCs/>
                <w:color w:val="auto"/>
                <w:sz w:val="22"/>
                <w:szCs w:val="22"/>
                <w:highlight w:val="none"/>
                <w:lang w:val="en-US" w:eastAsia="zh-CN"/>
              </w:rPr>
            </w:pPr>
            <w:r>
              <w:rPr>
                <w:rFonts w:hint="eastAsia" w:ascii="宋体" w:hAnsi="宋体"/>
                <w:b w:val="0"/>
                <w:bCs/>
                <w:color w:val="auto"/>
                <w:sz w:val="22"/>
                <w:szCs w:val="22"/>
                <w:highlight w:val="none"/>
              </w:rPr>
              <w:t>分包意向协议</w:t>
            </w:r>
            <w:r>
              <w:rPr>
                <w:rFonts w:hint="eastAsia" w:ascii="宋体" w:hAnsi="宋体"/>
                <w:b w:val="0"/>
                <w:bCs/>
                <w:color w:val="auto"/>
                <w:sz w:val="22"/>
                <w:szCs w:val="22"/>
                <w:highlight w:val="none"/>
                <w:lang w:eastAsia="zh-CN"/>
              </w:rPr>
              <w:t>（</w:t>
            </w:r>
            <w:r>
              <w:rPr>
                <w:rFonts w:hint="eastAsia" w:ascii="宋体" w:hAnsi="宋体"/>
                <w:b w:val="0"/>
                <w:bCs/>
                <w:color w:val="auto"/>
                <w:sz w:val="22"/>
                <w:szCs w:val="22"/>
                <w:highlight w:val="none"/>
                <w:lang w:val="en-US" w:eastAsia="zh-CN"/>
              </w:rPr>
              <w:t>如有）</w:t>
            </w:r>
          </w:p>
        </w:tc>
        <w:tc>
          <w:tcPr>
            <w:tcW w:w="1524" w:type="dxa"/>
            <w:vMerge w:val="continue"/>
            <w:vAlign w:val="center"/>
          </w:tcPr>
          <w:p w14:paraId="38493680">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p>
        </w:tc>
      </w:tr>
    </w:tbl>
    <w:p w14:paraId="41812443">
      <w:pPr>
        <w:pageBreakBefore w:val="0"/>
        <w:kinsoku/>
        <w:wordWrap/>
        <w:topLinePunct w:val="0"/>
        <w:autoSpaceDE/>
        <w:autoSpaceDN/>
        <w:bidi w:val="0"/>
        <w:adjustRightInd/>
        <w:snapToGrid/>
        <w:spacing w:line="400" w:lineRule="exact"/>
        <w:ind w:left="187" w:leftChars="85" w:hanging="9" w:hangingChars="4"/>
        <w:textAlignment w:val="auto"/>
        <w:rPr>
          <w:rFonts w:ascii="宋体" w:cs="hakuyoxingshu7000"/>
          <w:b/>
          <w:color w:val="auto"/>
          <w:sz w:val="22"/>
          <w:szCs w:val="22"/>
          <w:highlight w:val="none"/>
        </w:rPr>
      </w:pPr>
      <w:r>
        <w:rPr>
          <w:rFonts w:hint="eastAsia" w:ascii="宋体" w:hAnsi="宋体" w:cs="hakuyoxingshu7000"/>
          <w:b/>
          <w:color w:val="auto"/>
          <w:kern w:val="0"/>
          <w:sz w:val="22"/>
          <w:szCs w:val="22"/>
          <w:highlight w:val="none"/>
        </w:rPr>
        <w:t>（</w:t>
      </w:r>
      <w:r>
        <w:rPr>
          <w:rFonts w:ascii="宋体" w:hAnsi="宋体" w:cs="hakuyoxingshu7000"/>
          <w:b/>
          <w:color w:val="auto"/>
          <w:kern w:val="0"/>
          <w:sz w:val="22"/>
          <w:szCs w:val="22"/>
          <w:highlight w:val="none"/>
        </w:rPr>
        <w:t>3</w:t>
      </w:r>
      <w:r>
        <w:rPr>
          <w:rFonts w:hint="eastAsia" w:ascii="宋体" w:hAnsi="宋体" w:cs="hakuyoxingshu7000"/>
          <w:b/>
          <w:color w:val="auto"/>
          <w:kern w:val="0"/>
          <w:sz w:val="22"/>
          <w:szCs w:val="22"/>
          <w:highlight w:val="none"/>
        </w:rPr>
        <w:t>）</w:t>
      </w:r>
      <w:r>
        <w:rPr>
          <w:rFonts w:hint="eastAsia" w:ascii="宋体" w:hAnsi="宋体" w:cs="hakuyoxingshu7000"/>
          <w:b/>
          <w:color w:val="auto"/>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1F4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D7416CA">
            <w:pPr>
              <w:pageBreakBefore w:val="0"/>
              <w:kinsoku/>
              <w:wordWrap/>
              <w:topLinePunct w:val="0"/>
              <w:autoSpaceDE/>
              <w:autoSpaceDN/>
              <w:bidi w:val="0"/>
              <w:adjustRightInd/>
              <w:snapToGrid/>
              <w:spacing w:line="400" w:lineRule="exact"/>
              <w:jc w:val="center"/>
              <w:textAlignment w:val="auto"/>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513" w:type="dxa"/>
            <w:vAlign w:val="center"/>
          </w:tcPr>
          <w:p w14:paraId="4F5CB630">
            <w:pPr>
              <w:pageBreakBefore w:val="0"/>
              <w:kinsoku/>
              <w:wordWrap/>
              <w:topLinePunct w:val="0"/>
              <w:autoSpaceDE/>
              <w:autoSpaceDN/>
              <w:bidi w:val="0"/>
              <w:adjustRightInd/>
              <w:snapToGrid/>
              <w:spacing w:line="400" w:lineRule="exact"/>
              <w:textAlignment w:val="auto"/>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1524" w:type="dxa"/>
            <w:vAlign w:val="center"/>
          </w:tcPr>
          <w:p w14:paraId="6B559743">
            <w:pPr>
              <w:pageBreakBefore w:val="0"/>
              <w:kinsoku/>
              <w:wordWrap/>
              <w:topLinePunct w:val="0"/>
              <w:autoSpaceDE/>
              <w:autoSpaceDN/>
              <w:bidi w:val="0"/>
              <w:adjustRightInd/>
              <w:snapToGrid/>
              <w:spacing w:line="400" w:lineRule="exact"/>
              <w:jc w:val="center"/>
              <w:textAlignment w:val="auto"/>
              <w:rPr>
                <w:rFonts w:ascii="宋体" w:cs="仿宋"/>
                <w:b/>
                <w:color w:val="auto"/>
                <w:sz w:val="22"/>
                <w:szCs w:val="22"/>
                <w:highlight w:val="none"/>
              </w:rPr>
            </w:pPr>
            <w:r>
              <w:rPr>
                <w:rFonts w:hint="eastAsia" w:ascii="宋体" w:hAnsi="宋体" w:cs="仿宋"/>
                <w:b/>
                <w:color w:val="auto"/>
                <w:sz w:val="22"/>
                <w:szCs w:val="22"/>
                <w:highlight w:val="none"/>
              </w:rPr>
              <w:t>备注</w:t>
            </w:r>
          </w:p>
        </w:tc>
      </w:tr>
      <w:tr w14:paraId="75EB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D7FF00A">
            <w:pPr>
              <w:pageBreakBefore w:val="0"/>
              <w:kinsoku/>
              <w:wordWrap/>
              <w:overflowPunct w:val="0"/>
              <w:topLinePunct w:val="0"/>
              <w:autoSpaceDE/>
              <w:autoSpaceDN/>
              <w:bidi w:val="0"/>
              <w:adjustRightInd/>
              <w:snapToGrid/>
              <w:spacing w:line="400" w:lineRule="exact"/>
              <w:jc w:val="center"/>
              <w:textAlignment w:val="auto"/>
              <w:rPr>
                <w:rFonts w:ascii="宋体" w:cs="仿宋"/>
                <w:color w:val="auto"/>
                <w:sz w:val="22"/>
                <w:szCs w:val="22"/>
                <w:highlight w:val="none"/>
              </w:rPr>
            </w:pPr>
            <w:r>
              <w:rPr>
                <w:rFonts w:ascii="宋体" w:hAnsi="宋体" w:cs="新宋体"/>
                <w:bCs/>
                <w:color w:val="auto"/>
                <w:sz w:val="22"/>
                <w:szCs w:val="22"/>
                <w:highlight w:val="none"/>
              </w:rPr>
              <w:t>1</w:t>
            </w:r>
          </w:p>
        </w:tc>
        <w:tc>
          <w:tcPr>
            <w:tcW w:w="7513" w:type="dxa"/>
            <w:vAlign w:val="center"/>
          </w:tcPr>
          <w:p w14:paraId="31440944">
            <w:pPr>
              <w:pageBreakBefore w:val="0"/>
              <w:kinsoku/>
              <w:wordWrap/>
              <w:topLinePunct w:val="0"/>
              <w:autoSpaceDE/>
              <w:autoSpaceDN/>
              <w:bidi w:val="0"/>
              <w:adjustRightInd/>
              <w:snapToGrid/>
              <w:spacing w:line="400" w:lineRule="exact"/>
              <w:textAlignment w:val="auto"/>
              <w:rPr>
                <w:rFonts w:ascii="宋体" w:cs="仿宋"/>
                <w:color w:val="auto"/>
                <w:sz w:val="22"/>
                <w:szCs w:val="22"/>
                <w:highlight w:val="none"/>
              </w:rPr>
            </w:pPr>
            <w:r>
              <w:rPr>
                <w:rFonts w:hint="eastAsia" w:ascii="宋体" w:hAnsi="宋体" w:cs="仿宋"/>
                <w:color w:val="auto"/>
                <w:sz w:val="22"/>
                <w:szCs w:val="22"/>
                <w:highlight w:val="none"/>
              </w:rPr>
              <w:t>投标函</w:t>
            </w:r>
          </w:p>
        </w:tc>
        <w:tc>
          <w:tcPr>
            <w:tcW w:w="1524" w:type="dxa"/>
            <w:vAlign w:val="center"/>
          </w:tcPr>
          <w:p w14:paraId="6C788AF5">
            <w:pPr>
              <w:pageBreakBefore w:val="0"/>
              <w:kinsoku/>
              <w:wordWrap/>
              <w:topLinePunct w:val="0"/>
              <w:autoSpaceDE/>
              <w:autoSpaceDN/>
              <w:bidi w:val="0"/>
              <w:adjustRightInd/>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附件三</w:t>
            </w:r>
          </w:p>
        </w:tc>
      </w:tr>
      <w:tr w14:paraId="0025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848E609">
            <w:pPr>
              <w:pageBreakBefore w:val="0"/>
              <w:kinsoku/>
              <w:wordWrap/>
              <w:overflowPunct w:val="0"/>
              <w:topLinePunct w:val="0"/>
              <w:autoSpaceDE/>
              <w:autoSpaceDN/>
              <w:bidi w:val="0"/>
              <w:adjustRightInd/>
              <w:snapToGrid/>
              <w:spacing w:line="400" w:lineRule="exact"/>
              <w:jc w:val="center"/>
              <w:textAlignment w:val="auto"/>
              <w:rPr>
                <w:rFonts w:ascii="宋体" w:cs="仿宋"/>
                <w:color w:val="auto"/>
                <w:sz w:val="22"/>
                <w:szCs w:val="22"/>
                <w:highlight w:val="none"/>
              </w:rPr>
            </w:pPr>
            <w:r>
              <w:rPr>
                <w:rFonts w:ascii="宋体" w:hAnsi="宋体" w:cs="新宋体"/>
                <w:bCs/>
                <w:color w:val="auto"/>
                <w:sz w:val="22"/>
                <w:szCs w:val="22"/>
                <w:highlight w:val="none"/>
              </w:rPr>
              <w:t>2</w:t>
            </w:r>
          </w:p>
        </w:tc>
        <w:tc>
          <w:tcPr>
            <w:tcW w:w="7513" w:type="dxa"/>
            <w:vAlign w:val="center"/>
          </w:tcPr>
          <w:p w14:paraId="7FEEE048">
            <w:pPr>
              <w:pageBreakBefore w:val="0"/>
              <w:kinsoku/>
              <w:wordWrap/>
              <w:topLinePunct w:val="0"/>
              <w:autoSpaceDE/>
              <w:autoSpaceDN/>
              <w:bidi w:val="0"/>
              <w:adjustRightInd/>
              <w:snapToGrid/>
              <w:spacing w:line="400" w:lineRule="exact"/>
              <w:textAlignment w:val="auto"/>
              <w:rPr>
                <w:rFonts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4" w:type="dxa"/>
            <w:vAlign w:val="center"/>
          </w:tcPr>
          <w:p w14:paraId="7C8FD1BB">
            <w:pPr>
              <w:pageBreakBefore w:val="0"/>
              <w:kinsoku/>
              <w:wordWrap/>
              <w:topLinePunct w:val="0"/>
              <w:autoSpaceDE/>
              <w:autoSpaceDN/>
              <w:bidi w:val="0"/>
              <w:adjustRightInd/>
              <w:snapToGrid/>
              <w:spacing w:line="400" w:lineRule="exact"/>
              <w:jc w:val="center"/>
              <w:textAlignment w:val="auto"/>
              <w:rPr>
                <w:rFonts w:ascii="宋体" w:cs="仿宋"/>
                <w:color w:val="auto"/>
                <w:sz w:val="22"/>
                <w:szCs w:val="22"/>
                <w:highlight w:val="none"/>
              </w:rPr>
            </w:pPr>
            <w:r>
              <w:rPr>
                <w:rFonts w:hint="eastAsia" w:ascii="宋体" w:hAnsi="宋体" w:cs="仿宋"/>
                <w:color w:val="auto"/>
                <w:sz w:val="22"/>
                <w:szCs w:val="22"/>
                <w:highlight w:val="none"/>
              </w:rPr>
              <w:t>附件四</w:t>
            </w:r>
          </w:p>
        </w:tc>
      </w:tr>
      <w:tr w14:paraId="2722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C92B372">
            <w:pPr>
              <w:pageBreakBefore w:val="0"/>
              <w:kinsoku/>
              <w:wordWrap/>
              <w:overflowPunct w:val="0"/>
              <w:topLinePunct w:val="0"/>
              <w:autoSpaceDE/>
              <w:autoSpaceDN/>
              <w:bidi w:val="0"/>
              <w:adjustRightInd/>
              <w:snapToGrid/>
              <w:spacing w:line="400" w:lineRule="exact"/>
              <w:jc w:val="center"/>
              <w:textAlignment w:val="auto"/>
              <w:rPr>
                <w:rFonts w:ascii="宋体" w:hAnsi="Times New Roman" w:eastAsia="宋体" w:cs="仿宋"/>
                <w:color w:val="auto"/>
                <w:kern w:val="2"/>
                <w:sz w:val="22"/>
                <w:szCs w:val="22"/>
                <w:highlight w:val="none"/>
                <w:lang w:val="en-US" w:eastAsia="zh-CN" w:bidi="ar-SA"/>
              </w:rPr>
            </w:pPr>
            <w:r>
              <w:rPr>
                <w:rFonts w:ascii="宋体" w:hAnsi="宋体" w:cs="新宋体"/>
                <w:bCs/>
                <w:color w:val="auto"/>
                <w:sz w:val="22"/>
                <w:szCs w:val="22"/>
                <w:highlight w:val="none"/>
              </w:rPr>
              <w:t>3</w:t>
            </w:r>
          </w:p>
        </w:tc>
        <w:tc>
          <w:tcPr>
            <w:tcW w:w="7513" w:type="dxa"/>
            <w:vAlign w:val="center"/>
          </w:tcPr>
          <w:p w14:paraId="36FBCDFC">
            <w:pPr>
              <w:pageBreakBefore w:val="0"/>
              <w:kinsoku/>
              <w:wordWrap/>
              <w:topLinePunct w:val="0"/>
              <w:autoSpaceDE/>
              <w:autoSpaceDN/>
              <w:bidi w:val="0"/>
              <w:adjustRightInd/>
              <w:snapToGrid/>
              <w:spacing w:line="400" w:lineRule="exact"/>
              <w:textAlignment w:val="auto"/>
              <w:rPr>
                <w:rFonts w:hint="default" w:ascii="宋体" w:hAnsi="宋体" w:eastAsia="宋体" w:cs="仿宋"/>
                <w:color w:val="auto"/>
                <w:sz w:val="22"/>
                <w:szCs w:val="22"/>
                <w:highlight w:val="none"/>
                <w:lang w:val="en-US" w:eastAsia="zh-CN"/>
              </w:rPr>
            </w:pPr>
            <w:r>
              <w:rPr>
                <w:rFonts w:hint="default" w:ascii="宋体" w:hAnsi="宋体" w:eastAsia="宋体" w:cs="仿宋"/>
                <w:color w:val="auto"/>
                <w:sz w:val="22"/>
                <w:szCs w:val="22"/>
                <w:highlight w:val="none"/>
                <w:lang w:val="en-US" w:eastAsia="zh-CN"/>
              </w:rPr>
              <w:t>供货范围详细清单</w:t>
            </w:r>
          </w:p>
        </w:tc>
        <w:tc>
          <w:tcPr>
            <w:tcW w:w="1524" w:type="dxa"/>
            <w:vAlign w:val="center"/>
          </w:tcPr>
          <w:p w14:paraId="27B67FF9">
            <w:pPr>
              <w:pageBreakBefore w:val="0"/>
              <w:kinsoku/>
              <w:wordWrap/>
              <w:topLinePunct w:val="0"/>
              <w:autoSpaceDE/>
              <w:autoSpaceDN/>
              <w:bidi w:val="0"/>
              <w:adjustRightInd/>
              <w:snapToGrid/>
              <w:spacing w:line="400" w:lineRule="exact"/>
              <w:jc w:val="center"/>
              <w:textAlignment w:val="auto"/>
              <w:rPr>
                <w:rFonts w:hint="eastAsia" w:ascii="宋体" w:hAnsi="Times New Roman"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附件</w:t>
            </w:r>
            <w:r>
              <w:rPr>
                <w:rFonts w:hint="eastAsia" w:ascii="宋体" w:hAnsi="宋体" w:cs="仿宋"/>
                <w:color w:val="auto"/>
                <w:sz w:val="22"/>
                <w:szCs w:val="22"/>
                <w:highlight w:val="none"/>
                <w:lang w:val="en-US" w:eastAsia="zh-CN"/>
              </w:rPr>
              <w:t>五</w:t>
            </w:r>
          </w:p>
        </w:tc>
      </w:tr>
      <w:tr w14:paraId="3BF5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F8F0044">
            <w:pPr>
              <w:pageBreakBefore w:val="0"/>
              <w:kinsoku/>
              <w:wordWrap/>
              <w:overflowPunct w:val="0"/>
              <w:topLinePunct w:val="0"/>
              <w:autoSpaceDE/>
              <w:autoSpaceDN/>
              <w:bidi w:val="0"/>
              <w:adjustRightInd/>
              <w:snapToGrid/>
              <w:spacing w:line="400" w:lineRule="exact"/>
              <w:jc w:val="center"/>
              <w:textAlignment w:val="auto"/>
              <w:rPr>
                <w:rFonts w:ascii="宋体" w:hAnsi="Times New Roman" w:eastAsia="宋体" w:cs="宋体"/>
                <w:color w:val="auto"/>
                <w:kern w:val="2"/>
                <w:sz w:val="22"/>
                <w:szCs w:val="22"/>
                <w:highlight w:val="none"/>
                <w:lang w:val="en-US" w:eastAsia="zh-CN" w:bidi="ar-SA"/>
              </w:rPr>
            </w:pPr>
            <w:r>
              <w:rPr>
                <w:rFonts w:ascii="宋体" w:hAnsi="宋体" w:cs="新宋体"/>
                <w:bCs/>
                <w:color w:val="auto"/>
                <w:sz w:val="22"/>
                <w:szCs w:val="22"/>
                <w:highlight w:val="none"/>
              </w:rPr>
              <w:t>4</w:t>
            </w:r>
          </w:p>
        </w:tc>
        <w:tc>
          <w:tcPr>
            <w:tcW w:w="7513" w:type="dxa"/>
            <w:vAlign w:val="center"/>
          </w:tcPr>
          <w:p w14:paraId="7647EF19">
            <w:pPr>
              <w:pageBreakBefore w:val="0"/>
              <w:kinsoku/>
              <w:wordWrap/>
              <w:topLinePunct w:val="0"/>
              <w:autoSpaceDE/>
              <w:autoSpaceDN/>
              <w:bidi w:val="0"/>
              <w:adjustRightInd/>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6A5B521A">
            <w:pPr>
              <w:pageBreakBefore w:val="0"/>
              <w:kinsoku/>
              <w:wordWrap/>
              <w:topLinePunct w:val="0"/>
              <w:autoSpaceDE/>
              <w:autoSpaceDN/>
              <w:bidi w:val="0"/>
              <w:adjustRightInd/>
              <w:snapToGrid/>
              <w:spacing w:line="400" w:lineRule="exact"/>
              <w:jc w:val="center"/>
              <w:textAlignment w:val="auto"/>
              <w:rPr>
                <w:rFonts w:ascii="宋体" w:cs="仿宋"/>
                <w:color w:val="auto"/>
                <w:sz w:val="22"/>
                <w:szCs w:val="22"/>
                <w:highlight w:val="none"/>
              </w:rPr>
            </w:pPr>
          </w:p>
        </w:tc>
      </w:tr>
      <w:tr w14:paraId="0988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765C989">
            <w:pPr>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5</w:t>
            </w:r>
          </w:p>
        </w:tc>
        <w:tc>
          <w:tcPr>
            <w:tcW w:w="7513" w:type="dxa"/>
            <w:vAlign w:val="center"/>
          </w:tcPr>
          <w:p w14:paraId="7AF48EC6">
            <w:pPr>
              <w:pageBreakBefore w:val="0"/>
              <w:kinsoku/>
              <w:wordWrap/>
              <w:topLinePunct w:val="0"/>
              <w:autoSpaceDE/>
              <w:autoSpaceDN/>
              <w:bidi w:val="0"/>
              <w:adjustRightInd/>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服务保证措施资信证明文件（本部分为商务技术文件评分内容，各供应商参照评分标准根据自身情况提供）</w:t>
            </w:r>
          </w:p>
        </w:tc>
        <w:tc>
          <w:tcPr>
            <w:tcW w:w="1524" w:type="dxa"/>
            <w:vAlign w:val="center"/>
          </w:tcPr>
          <w:p w14:paraId="0AE3F151">
            <w:pPr>
              <w:pageBreakBefore w:val="0"/>
              <w:kinsoku/>
              <w:wordWrap/>
              <w:topLinePunct w:val="0"/>
              <w:autoSpaceDE/>
              <w:autoSpaceDN/>
              <w:bidi w:val="0"/>
              <w:adjustRightInd/>
              <w:snapToGrid/>
              <w:spacing w:line="400" w:lineRule="exact"/>
              <w:jc w:val="center"/>
              <w:textAlignment w:val="auto"/>
              <w:rPr>
                <w:rFonts w:ascii="宋体" w:cs="宋体"/>
                <w:color w:val="auto"/>
                <w:sz w:val="22"/>
                <w:szCs w:val="22"/>
                <w:highlight w:val="none"/>
              </w:rPr>
            </w:pPr>
          </w:p>
        </w:tc>
      </w:tr>
      <w:tr w14:paraId="0E25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91ADD75">
            <w:pPr>
              <w:pageBreakBefore w:val="0"/>
              <w:kinsoku/>
              <w:wordWrap/>
              <w:overflowPunct w:val="0"/>
              <w:topLinePunct w:val="0"/>
              <w:autoSpaceDE/>
              <w:autoSpaceDN/>
              <w:bidi w:val="0"/>
              <w:adjustRightInd/>
              <w:snapToGrid/>
              <w:spacing w:line="400" w:lineRule="exact"/>
              <w:jc w:val="center"/>
              <w:textAlignment w:val="auto"/>
              <w:rPr>
                <w:rFonts w:hint="eastAsia" w:ascii="宋体" w:hAnsi="Times New Roman" w:eastAsia="宋体" w:cs="仿宋"/>
                <w:color w:val="auto"/>
                <w:kern w:val="2"/>
                <w:sz w:val="22"/>
                <w:szCs w:val="22"/>
                <w:highlight w:val="none"/>
                <w:lang w:val="en-US" w:eastAsia="zh-CN" w:bidi="ar-SA"/>
              </w:rPr>
            </w:pPr>
            <w:r>
              <w:rPr>
                <w:rFonts w:hint="eastAsia" w:ascii="宋体" w:cs="仿宋"/>
                <w:color w:val="auto"/>
                <w:sz w:val="22"/>
                <w:szCs w:val="22"/>
                <w:highlight w:val="none"/>
                <w:lang w:val="en-US" w:eastAsia="zh-CN"/>
              </w:rPr>
              <w:t>6</w:t>
            </w:r>
          </w:p>
        </w:tc>
        <w:tc>
          <w:tcPr>
            <w:tcW w:w="7513" w:type="dxa"/>
            <w:vAlign w:val="center"/>
          </w:tcPr>
          <w:p w14:paraId="0D5623C2">
            <w:pPr>
              <w:pageBreakBefore w:val="0"/>
              <w:kinsoku/>
              <w:wordWrap/>
              <w:topLinePunct w:val="0"/>
              <w:autoSpaceDE/>
              <w:autoSpaceDN/>
              <w:bidi w:val="0"/>
              <w:adjustRightInd/>
              <w:snapToGrid/>
              <w:spacing w:line="400" w:lineRule="exact"/>
              <w:textAlignment w:val="auto"/>
              <w:rPr>
                <w:rFonts w:hint="eastAsia" w:ascii="宋体" w:hAnsi="宋体" w:cs="仿宋"/>
                <w:color w:val="auto"/>
                <w:sz w:val="22"/>
                <w:szCs w:val="22"/>
                <w:highlight w:val="none"/>
              </w:rPr>
            </w:pPr>
            <w:r>
              <w:rPr>
                <w:rFonts w:hint="eastAsia" w:ascii="宋体" w:hAnsi="宋体" w:cs="仿宋"/>
                <w:b/>
                <w:bCs/>
                <w:color w:val="auto"/>
                <w:sz w:val="22"/>
                <w:szCs w:val="22"/>
                <w:highlight w:val="none"/>
                <w:u w:val="single"/>
              </w:rPr>
              <w:t>无缝衔接承诺函</w:t>
            </w:r>
          </w:p>
        </w:tc>
        <w:tc>
          <w:tcPr>
            <w:tcW w:w="1524" w:type="dxa"/>
            <w:vAlign w:val="center"/>
          </w:tcPr>
          <w:p w14:paraId="3298CF4F">
            <w:pPr>
              <w:pageBreakBefore w:val="0"/>
              <w:kinsoku/>
              <w:wordWrap/>
              <w:topLinePunct w:val="0"/>
              <w:autoSpaceDE/>
              <w:autoSpaceDN/>
              <w:bidi w:val="0"/>
              <w:adjustRightInd/>
              <w:snapToGrid/>
              <w:spacing w:line="400" w:lineRule="exact"/>
              <w:jc w:val="center"/>
              <w:textAlignment w:val="auto"/>
              <w:rPr>
                <w:rFonts w:hint="eastAsia" w:ascii="宋体" w:eastAsia="宋体" w:cs="宋体"/>
                <w:color w:val="auto"/>
                <w:sz w:val="22"/>
                <w:szCs w:val="22"/>
                <w:highlight w:val="none"/>
                <w:lang w:val="en-US" w:eastAsia="zh-CN"/>
              </w:rPr>
            </w:pPr>
            <w:r>
              <w:rPr>
                <w:rFonts w:hint="eastAsia" w:ascii="宋体" w:hAnsi="宋体" w:cs="仿宋"/>
                <w:color w:val="auto"/>
                <w:sz w:val="22"/>
                <w:szCs w:val="22"/>
                <w:highlight w:val="none"/>
              </w:rPr>
              <w:t>附件</w:t>
            </w:r>
            <w:r>
              <w:rPr>
                <w:rFonts w:hint="eastAsia" w:ascii="宋体" w:hAnsi="宋体" w:cs="仿宋"/>
                <w:color w:val="auto"/>
                <w:sz w:val="22"/>
                <w:szCs w:val="22"/>
                <w:highlight w:val="none"/>
                <w:lang w:val="en-US" w:eastAsia="zh-CN"/>
              </w:rPr>
              <w:t>六</w:t>
            </w:r>
          </w:p>
        </w:tc>
      </w:tr>
      <w:tr w14:paraId="1854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049EA22">
            <w:pPr>
              <w:pageBreakBefore w:val="0"/>
              <w:kinsoku/>
              <w:wordWrap/>
              <w:overflowPunct w:val="0"/>
              <w:topLinePunct w:val="0"/>
              <w:autoSpaceDE/>
              <w:autoSpaceDN/>
              <w:bidi w:val="0"/>
              <w:adjustRightInd/>
              <w:snapToGrid/>
              <w:spacing w:line="400" w:lineRule="exact"/>
              <w:jc w:val="center"/>
              <w:textAlignment w:val="auto"/>
              <w:rPr>
                <w:rFonts w:hint="default" w:ascii="宋体" w:eastAsia="宋体" w:cs="仿宋"/>
                <w:color w:val="auto"/>
                <w:sz w:val="22"/>
                <w:szCs w:val="22"/>
                <w:highlight w:val="none"/>
                <w:lang w:val="en-US" w:eastAsia="zh-CN"/>
              </w:rPr>
            </w:pPr>
            <w:r>
              <w:rPr>
                <w:rFonts w:hint="eastAsia" w:ascii="宋体" w:cs="仿宋"/>
                <w:color w:val="auto"/>
                <w:sz w:val="22"/>
                <w:szCs w:val="22"/>
                <w:highlight w:val="none"/>
                <w:lang w:val="en-US" w:eastAsia="zh-CN"/>
              </w:rPr>
              <w:t>7</w:t>
            </w:r>
          </w:p>
        </w:tc>
        <w:tc>
          <w:tcPr>
            <w:tcW w:w="7513" w:type="dxa"/>
            <w:vAlign w:val="center"/>
          </w:tcPr>
          <w:p w14:paraId="2F5E6812">
            <w:pPr>
              <w:pageBreakBefore w:val="0"/>
              <w:kinsoku/>
              <w:wordWrap/>
              <w:topLinePunct w:val="0"/>
              <w:autoSpaceDE/>
              <w:autoSpaceDN/>
              <w:bidi w:val="0"/>
              <w:adjustRightInd/>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结合招标文件评分细则供应商认为需要提供的其他技术资料</w:t>
            </w:r>
          </w:p>
        </w:tc>
        <w:tc>
          <w:tcPr>
            <w:tcW w:w="1524" w:type="dxa"/>
            <w:vAlign w:val="center"/>
          </w:tcPr>
          <w:p w14:paraId="492F779C">
            <w:pPr>
              <w:pageBreakBefore w:val="0"/>
              <w:kinsoku/>
              <w:wordWrap/>
              <w:topLinePunct w:val="0"/>
              <w:autoSpaceDE/>
              <w:autoSpaceDN/>
              <w:bidi w:val="0"/>
              <w:adjustRightInd/>
              <w:snapToGrid/>
              <w:spacing w:line="400" w:lineRule="exact"/>
              <w:jc w:val="center"/>
              <w:textAlignment w:val="auto"/>
              <w:rPr>
                <w:rFonts w:ascii="宋体" w:cs="仿宋"/>
                <w:color w:val="auto"/>
                <w:sz w:val="22"/>
                <w:szCs w:val="22"/>
                <w:highlight w:val="none"/>
              </w:rPr>
            </w:pPr>
          </w:p>
        </w:tc>
      </w:tr>
    </w:tbl>
    <w:p w14:paraId="32829FFF">
      <w:pPr>
        <w:pageBreakBefore w:val="0"/>
        <w:kinsoku/>
        <w:wordWrap/>
        <w:topLinePunct w:val="0"/>
        <w:autoSpaceDE/>
        <w:autoSpaceDN/>
        <w:bidi w:val="0"/>
        <w:adjustRightInd/>
        <w:snapToGrid/>
        <w:spacing w:line="400" w:lineRule="exact"/>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39C220EF">
      <w:pPr>
        <w:pageBreakBefore w:val="0"/>
        <w:numPr>
          <w:ilvl w:val="0"/>
          <w:numId w:val="13"/>
        </w:numPr>
        <w:kinsoku/>
        <w:wordWrap/>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02A41632">
      <w:pPr>
        <w:pageBreakBefore w:val="0"/>
        <w:numPr>
          <w:ilvl w:val="0"/>
          <w:numId w:val="13"/>
        </w:numPr>
        <w:kinsoku/>
        <w:wordWrap/>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4E37F76A">
      <w:pPr>
        <w:pageBreakBefore w:val="0"/>
        <w:numPr>
          <w:ilvl w:val="0"/>
          <w:numId w:val="13"/>
        </w:numPr>
        <w:kinsoku/>
        <w:wordWrap/>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1BFE733E">
      <w:pPr>
        <w:pageBreakBefore w:val="0"/>
        <w:numPr>
          <w:ilvl w:val="0"/>
          <w:numId w:val="13"/>
        </w:numPr>
        <w:kinsoku/>
        <w:wordWrap/>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404642A7">
      <w:pPr>
        <w:pageBreakBefore w:val="0"/>
        <w:kinsoku/>
        <w:wordWrap/>
        <w:topLinePunct w:val="0"/>
        <w:autoSpaceDE/>
        <w:autoSpaceDN/>
        <w:bidi w:val="0"/>
        <w:adjustRightInd/>
        <w:snapToGrid/>
        <w:spacing w:line="400" w:lineRule="exact"/>
        <w:textAlignment w:val="auto"/>
        <w:rPr>
          <w:rFonts w:ascii="宋体" w:hAnsi="宋体" w:cs="hakuyoxingshu7000"/>
          <w:color w:val="auto"/>
          <w:kern w:val="0"/>
          <w:sz w:val="22"/>
          <w:szCs w:val="22"/>
        </w:rPr>
      </w:pPr>
      <w:r>
        <w:rPr>
          <w:rFonts w:hint="eastAsia" w:ascii="宋体" w:hAnsi="宋体" w:cs="hakuyoxingshu7000"/>
          <w:color w:val="auto"/>
          <w:kern w:val="0"/>
          <w:sz w:val="22"/>
          <w:szCs w:val="22"/>
        </w:rPr>
        <w:t>（4） 电子投标文件</w:t>
      </w:r>
    </w:p>
    <w:p w14:paraId="21489603">
      <w:pPr>
        <w:pageBreakBefore w:val="0"/>
        <w:kinsoku/>
        <w:wordWrap/>
        <w:topLinePunct w:val="0"/>
        <w:autoSpaceDE/>
        <w:autoSpaceDN/>
        <w:bidi w:val="0"/>
        <w:adjustRightInd/>
        <w:snapToGrid/>
        <w:spacing w:line="400" w:lineRule="exact"/>
        <w:ind w:left="187" w:leftChars="85" w:hanging="9" w:hangingChars="4"/>
        <w:textAlignment w:val="auto"/>
        <w:rPr>
          <w:rFonts w:ascii="宋体" w:hAnsi="宋体" w:cs="Arial"/>
          <w:b/>
          <w:color w:val="auto"/>
          <w:sz w:val="22"/>
          <w:szCs w:val="22"/>
        </w:rPr>
      </w:pPr>
      <w:r>
        <w:rPr>
          <w:rFonts w:hint="eastAsia" w:ascii="宋体" w:hAnsi="宋体"/>
          <w:b/>
          <w:color w:val="auto"/>
          <w:sz w:val="22"/>
          <w:szCs w:val="22"/>
          <w:u w:val="single"/>
        </w:rPr>
        <w:t>电子投标文件为资格文件、商务技术文件、报价文件等三部分完整投标文件签字盖章后的PDF格式扫描文件。投标人需准备U盘</w:t>
      </w:r>
      <w:r>
        <w:rPr>
          <w:rFonts w:ascii="宋体" w:hAnsi="宋体"/>
          <w:b/>
          <w:color w:val="auto"/>
          <w:sz w:val="22"/>
          <w:szCs w:val="22"/>
          <w:u w:val="single"/>
        </w:rPr>
        <w:t>一</w:t>
      </w:r>
      <w:r>
        <w:rPr>
          <w:rFonts w:hint="eastAsia" w:ascii="宋体" w:hAnsi="宋体"/>
          <w:b/>
          <w:color w:val="auto"/>
          <w:sz w:val="22"/>
          <w:szCs w:val="22"/>
          <w:u w:val="single"/>
        </w:rPr>
        <w:t>份。电子投标文件密封于“报价文件”密封袋内。</w:t>
      </w:r>
    </w:p>
    <w:p w14:paraId="278924D3">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bookmarkStart w:id="98" w:name="_Toc241404202"/>
      <w:bookmarkStart w:id="99" w:name="_Toc222114879"/>
      <w:bookmarkStart w:id="100" w:name="_Toc245191314"/>
      <w:bookmarkStart w:id="101" w:name="_Toc245722281"/>
      <w:bookmarkStart w:id="102" w:name="_Toc221423619"/>
      <w:bookmarkStart w:id="103" w:name="_Toc223715998"/>
      <w:bookmarkStart w:id="104" w:name="_Toc239145354"/>
      <w:bookmarkStart w:id="105" w:name="_Toc221374626"/>
      <w:bookmarkStart w:id="106" w:name="_Toc221356951"/>
      <w:bookmarkStart w:id="107" w:name="_Toc249758864"/>
      <w:bookmarkStart w:id="108" w:name="_Toc249758712"/>
      <w:bookmarkStart w:id="109" w:name="_Toc262105503"/>
      <w:bookmarkStart w:id="110" w:name="_Toc221356887"/>
      <w:bookmarkStart w:id="111" w:name="_Toc246261265"/>
      <w:bookmarkStart w:id="112" w:name="_Toc262049418"/>
      <w:r>
        <w:rPr>
          <w:rFonts w:hint="eastAsia" w:ascii="宋体" w:hAnsi="宋体"/>
          <w:bCs/>
          <w:color w:val="auto"/>
          <w:sz w:val="22"/>
          <w:szCs w:val="22"/>
          <w:highlight w:val="none"/>
        </w:rPr>
        <w:t>投标文件编制</w:t>
      </w:r>
    </w:p>
    <w:p w14:paraId="1CDCFCDE">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投标人应根据招标文件中所提供的格式，内容按顺序填写并装订成册，▲不允许以活页夹形式装订投标文件</w:t>
      </w:r>
      <w:r>
        <w:rPr>
          <w:rFonts w:hint="eastAsia" w:ascii="宋体" w:hAnsi="宋体"/>
          <w:bCs/>
          <w:color w:val="auto"/>
          <w:sz w:val="22"/>
          <w:szCs w:val="22"/>
          <w:highlight w:val="none"/>
          <w:lang w:eastAsia="zh-CN"/>
        </w:rPr>
        <w:t>。</w:t>
      </w:r>
    </w:p>
    <w:p w14:paraId="7A403B58">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投标文件应有目录以及页码，以便评委检索。</w:t>
      </w:r>
    </w:p>
    <w:p w14:paraId="2A298621">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44AAC23D">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56510CE7">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2EBE45FB">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11A21F86">
      <w:pPr>
        <w:pageBreakBefore w:val="0"/>
        <w:numPr>
          <w:ilvl w:val="1"/>
          <w:numId w:val="14"/>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060527BD">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投标报价</w:t>
      </w:r>
    </w:p>
    <w:p w14:paraId="7B1C3F60">
      <w:pPr>
        <w:pageBreakBefore w:val="0"/>
        <w:numPr>
          <w:ilvl w:val="1"/>
          <w:numId w:val="1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bookmarkStart w:id="113" w:name="_Toc16296"/>
      <w:r>
        <w:rPr>
          <w:rFonts w:hint="eastAsia" w:ascii="宋体" w:hAnsi="宋体" w:cs="宋体"/>
          <w:b/>
          <w:bCs/>
          <w:color w:val="auto"/>
          <w:sz w:val="22"/>
          <w:u w:val="single"/>
        </w:rPr>
        <w:t>投标报价是指投标人在正确地完全履行合同义务后采购人应支付给投标人所有的</w:t>
      </w:r>
      <w:r>
        <w:rPr>
          <w:rFonts w:hint="eastAsia" w:ascii="宋体" w:hAnsi="宋体" w:cs="宋体"/>
          <w:b/>
          <w:bCs/>
          <w:color w:val="auto"/>
          <w:sz w:val="22"/>
          <w:u w:val="single"/>
          <w:lang w:val="en-US" w:eastAsia="zh-CN"/>
        </w:rPr>
        <w:t>费用</w:t>
      </w:r>
      <w:r>
        <w:rPr>
          <w:rFonts w:hint="eastAsia" w:ascii="宋体" w:hAnsi="宋体" w:cs="宋体"/>
          <w:b/>
          <w:bCs/>
          <w:color w:val="auto"/>
          <w:sz w:val="22"/>
          <w:u w:val="single"/>
        </w:rPr>
        <w:t>，</w:t>
      </w:r>
      <w:r>
        <w:rPr>
          <w:rFonts w:hint="eastAsia" w:ascii="宋体" w:hAnsi="宋体" w:cs="宋体"/>
          <w:b/>
          <w:color w:val="auto"/>
          <w:sz w:val="22"/>
          <w:szCs w:val="22"/>
          <w:u w:val="single"/>
        </w:rPr>
        <w:t>包括人工成本、设备</w:t>
      </w:r>
      <w:r>
        <w:rPr>
          <w:rFonts w:hint="eastAsia" w:ascii="宋体" w:hAnsi="宋体" w:cs="宋体"/>
          <w:b/>
          <w:color w:val="auto"/>
          <w:sz w:val="22"/>
          <w:szCs w:val="22"/>
          <w:u w:val="single"/>
          <w:lang w:val="en-US" w:eastAsia="zh-CN"/>
        </w:rPr>
        <w:t>的制造、存储、运输、安装、验收等费用及</w:t>
      </w:r>
      <w:r>
        <w:rPr>
          <w:rFonts w:hint="eastAsia" w:ascii="宋体" w:hAnsi="宋体" w:cs="宋体"/>
          <w:b/>
          <w:color w:val="auto"/>
          <w:sz w:val="22"/>
          <w:szCs w:val="22"/>
          <w:u w:val="single"/>
        </w:rPr>
        <w:t>交通</w:t>
      </w:r>
      <w:r>
        <w:rPr>
          <w:rFonts w:hint="eastAsia" w:ascii="宋体" w:hAnsi="宋体" w:cs="宋体"/>
          <w:b/>
          <w:color w:val="auto"/>
          <w:sz w:val="22"/>
          <w:szCs w:val="22"/>
          <w:u w:val="single"/>
          <w:lang w:val="en-US" w:eastAsia="zh-CN"/>
        </w:rPr>
        <w:t>补贴</w:t>
      </w:r>
      <w:r>
        <w:rPr>
          <w:rFonts w:hint="eastAsia" w:ascii="宋体" w:hAnsi="宋体" w:cs="宋体"/>
          <w:b/>
          <w:color w:val="auto"/>
          <w:sz w:val="22"/>
          <w:szCs w:val="22"/>
          <w:u w:val="single"/>
        </w:rPr>
        <w:t>、各种税费、保险费、安全措施费、利润、采购代理服务费、税金、政策性文件规定及物价上涨因素等服务期内的所有风险费，招标人不再另行支付其他费用。</w:t>
      </w:r>
      <w:r>
        <w:rPr>
          <w:rFonts w:hint="eastAsia" w:ascii="宋体" w:hAnsi="宋体"/>
          <w:b/>
          <w:bCs/>
          <w:color w:val="auto"/>
          <w:sz w:val="22"/>
          <w:szCs w:val="22"/>
          <w:u w:val="single"/>
        </w:rPr>
        <w:t>投标人应根据上述因素自行考虑含入投标报价。</w:t>
      </w:r>
    </w:p>
    <w:p w14:paraId="662C8B3D">
      <w:pPr>
        <w:pageBreakBefore w:val="0"/>
        <w:numPr>
          <w:ilvl w:val="1"/>
          <w:numId w:val="1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color w:val="auto"/>
          <w:sz w:val="22"/>
          <w:szCs w:val="22"/>
        </w:rPr>
        <w:t>投标人必须按第三部分附件的开标一览表、投标分项报价表（统一格式）的内容填写服投标报价及其他事项，并由法定代表人或授权代表签署。</w:t>
      </w:r>
    </w:p>
    <w:p w14:paraId="2A38C6C1">
      <w:pPr>
        <w:pageBreakBefore w:val="0"/>
        <w:numPr>
          <w:ilvl w:val="1"/>
          <w:numId w:val="1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b/>
          <w:color w:val="auto"/>
          <w:sz w:val="22"/>
          <w:szCs w:val="22"/>
        </w:rPr>
      </w:pPr>
      <w:r>
        <w:rPr>
          <w:rFonts w:hint="eastAsia" w:ascii="宋体" w:hAnsi="宋体"/>
          <w:color w:val="auto"/>
          <w:sz w:val="22"/>
          <w:szCs w:val="22"/>
        </w:rPr>
        <w:t>所有投标均以人民币报价。</w:t>
      </w:r>
    </w:p>
    <w:p w14:paraId="5545F977">
      <w:pPr>
        <w:pageBreakBefore w:val="0"/>
        <w:numPr>
          <w:ilvl w:val="1"/>
          <w:numId w:val="1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b/>
          <w:color w:val="auto"/>
          <w:sz w:val="22"/>
          <w:szCs w:val="22"/>
        </w:rPr>
        <w:t>招标人不接受任何选择报价，对每一项货物/服务只允许一个报价。</w:t>
      </w:r>
    </w:p>
    <w:p w14:paraId="1C7BBCA2">
      <w:pPr>
        <w:pageBreakBefore w:val="0"/>
        <w:numPr>
          <w:ilvl w:val="1"/>
          <w:numId w:val="1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b/>
          <w:color w:val="auto"/>
          <w:sz w:val="22"/>
          <w:szCs w:val="22"/>
        </w:rPr>
      </w:pPr>
      <w:r>
        <w:rPr>
          <w:rFonts w:hint="eastAsia" w:ascii="宋体" w:hAnsi="宋体"/>
          <w:color w:val="auto"/>
          <w:sz w:val="22"/>
          <w:szCs w:val="22"/>
        </w:rPr>
        <w:t>招标人要求分类报价是为了方便评标，但在任何情况下不限制招标人以其认为最合适的条款、条件签订合同的权利。</w:t>
      </w:r>
    </w:p>
    <w:p w14:paraId="7BD2F6C3">
      <w:pPr>
        <w:pageBreakBefore w:val="0"/>
        <w:numPr>
          <w:ilvl w:val="1"/>
          <w:numId w:val="1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b/>
          <w:color w:val="auto"/>
          <w:sz w:val="22"/>
          <w:szCs w:val="22"/>
        </w:rPr>
      </w:pPr>
      <w:r>
        <w:rPr>
          <w:rFonts w:hint="eastAsia" w:ascii="宋体" w:hAnsi="宋体"/>
          <w:b/>
          <w:color w:val="auto"/>
          <w:sz w:val="22"/>
          <w:szCs w:val="22"/>
        </w:rPr>
        <w:t>最低报价不能作为中标的保证。</w:t>
      </w:r>
    </w:p>
    <w:p w14:paraId="0A0C97BC">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投标保证金</w:t>
      </w:r>
    </w:p>
    <w:p w14:paraId="51FF652B">
      <w:pPr>
        <w:pageBreakBefore w:val="0"/>
        <w:numPr>
          <w:ilvl w:val="255"/>
          <w:numId w:val="0"/>
        </w:numPr>
        <w:tabs>
          <w:tab w:val="left" w:pos="360"/>
        </w:tabs>
        <w:kinsoku/>
        <w:wordWrap/>
        <w:topLinePunct w:val="0"/>
        <w:autoSpaceDE/>
        <w:autoSpaceDN/>
        <w:bidi w:val="0"/>
        <w:adjustRightInd/>
        <w:snapToGrid/>
        <w:spacing w:line="400" w:lineRule="exact"/>
        <w:ind w:firstLine="630" w:firstLineChars="300"/>
        <w:textAlignment w:val="auto"/>
        <w:rPr>
          <w:rFonts w:ascii="宋体" w:hAnsi="宋体" w:cs="hakuyoxingshu7000"/>
          <w:color w:val="auto"/>
          <w:kern w:val="0"/>
          <w:sz w:val="22"/>
          <w:szCs w:val="22"/>
          <w:u w:val="single"/>
        </w:rPr>
      </w:pPr>
      <w:r>
        <w:rPr>
          <w:rFonts w:hint="eastAsia" w:ascii="宋体" w:hAnsi="宋体" w:cs="Arial"/>
          <w:color w:val="auto"/>
          <w:szCs w:val="21"/>
        </w:rPr>
        <w:t>本项目无需投标保证金。</w:t>
      </w:r>
    </w:p>
    <w:p w14:paraId="596CADAC">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投标有效期</w:t>
      </w:r>
    </w:p>
    <w:p w14:paraId="78510BBA">
      <w:pPr>
        <w:pageBreakBefore w:val="0"/>
        <w:numPr>
          <w:ilvl w:val="1"/>
          <w:numId w:val="16"/>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b/>
          <w:color w:val="auto"/>
          <w:sz w:val="22"/>
          <w:szCs w:val="22"/>
        </w:rPr>
        <w:t>自开标之日起</w:t>
      </w:r>
      <w:r>
        <w:rPr>
          <w:rFonts w:hint="eastAsia" w:ascii="宋体" w:hAnsi="宋体"/>
          <w:b/>
          <w:color w:val="auto"/>
          <w:sz w:val="22"/>
          <w:szCs w:val="22"/>
          <w:u w:val="single"/>
        </w:rPr>
        <w:t xml:space="preserve"> 90</w:t>
      </w:r>
      <w:r>
        <w:rPr>
          <w:rFonts w:hint="eastAsia" w:ascii="宋体" w:hAnsi="宋体"/>
          <w:b/>
          <w:color w:val="auto"/>
          <w:sz w:val="22"/>
          <w:szCs w:val="22"/>
        </w:rPr>
        <w:t>天内投标应保持有效。投标有效期短于这个规定期限的投标将视为非响应性投标而予以拒绝。</w:t>
      </w:r>
    </w:p>
    <w:p w14:paraId="01438DA1">
      <w:pPr>
        <w:pageBreakBefore w:val="0"/>
        <w:numPr>
          <w:ilvl w:val="1"/>
          <w:numId w:val="16"/>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color w:val="auto"/>
          <w:sz w:val="22"/>
          <w:szCs w:val="22"/>
        </w:rPr>
        <w:t>特殊情况下，在原投标有效期截止前，招标人可与投标人协商延长投标有效期，这种要求和答复均以书面形式进行。投标人可拒绝接受延期要求。同意延长投标有效期的投标人不得修改投标文件。</w:t>
      </w:r>
    </w:p>
    <w:p w14:paraId="25B27616">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投标文件的签署和规定</w:t>
      </w:r>
    </w:p>
    <w:p w14:paraId="5DBCC309">
      <w:pPr>
        <w:pageBreakBefore w:val="0"/>
        <w:numPr>
          <w:ilvl w:val="1"/>
          <w:numId w:val="17"/>
        </w:numPr>
        <w:tabs>
          <w:tab w:val="left" w:pos="54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宋体"/>
          <w:color w:val="auto"/>
          <w:sz w:val="22"/>
          <w:szCs w:val="22"/>
          <w:u w:val="single"/>
        </w:rPr>
      </w:pPr>
      <w:r>
        <w:rPr>
          <w:rFonts w:hint="eastAsia" w:ascii="宋体" w:hAnsi="宋体" w:cs="宋体"/>
          <w:b/>
          <w:color w:val="auto"/>
          <w:sz w:val="22"/>
          <w:szCs w:val="22"/>
          <w:u w:val="single"/>
        </w:rPr>
        <w:t>投标人应提供投标文件资格文件、商务技术文件、报价文件各一式六份的投标文件，分别装订成册，且单独密封装订（正本与副本允许合并密封）。其中纸质投标文件正本一份、副本五份，共六份。</w:t>
      </w:r>
      <w:r>
        <w:rPr>
          <w:rFonts w:hint="eastAsia" w:ascii="宋体"/>
          <w:b/>
          <w:color w:val="auto"/>
          <w:sz w:val="22"/>
          <w:szCs w:val="22"/>
          <w:u w:val="single"/>
        </w:rPr>
        <w:t>电子投标文件U盘一份，共一份。</w:t>
      </w:r>
      <w:r>
        <w:rPr>
          <w:rFonts w:hint="eastAsia" w:ascii="宋体" w:hAnsi="宋体" w:cs="宋体"/>
          <w:b/>
          <w:color w:val="auto"/>
          <w:sz w:val="22"/>
          <w:szCs w:val="22"/>
          <w:u w:val="single"/>
        </w:rPr>
        <w:t>每套投标文件的封面应清楚标明“正本”或“副本”字样，若“正本”与“副本”不符，以“正本”为准。无论中标与否，投标文件均不退还，代理机构具有处置投标文件的一切权利。</w:t>
      </w:r>
    </w:p>
    <w:p w14:paraId="36C72F8E">
      <w:pPr>
        <w:pageBreakBefore w:val="0"/>
        <w:numPr>
          <w:ilvl w:val="1"/>
          <w:numId w:val="17"/>
        </w:numPr>
        <w:tabs>
          <w:tab w:val="left" w:pos="54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宋体"/>
          <w:color w:val="auto"/>
          <w:sz w:val="22"/>
          <w:szCs w:val="22"/>
        </w:rPr>
      </w:pPr>
      <w:r>
        <w:rPr>
          <w:rFonts w:hint="eastAsia" w:ascii="宋体" w:hAnsi="宋体" w:cs="宋体"/>
          <w:color w:val="auto"/>
          <w:sz w:val="22"/>
          <w:szCs w:val="22"/>
        </w:rPr>
        <w:t>投标文件的正本必须打印或用不褪色的墨水书写，并由法定代表人或其授权代表签署，副本可用正本的复印。</w:t>
      </w:r>
    </w:p>
    <w:p w14:paraId="40A12746">
      <w:pPr>
        <w:pageBreakBefore w:val="0"/>
        <w:numPr>
          <w:ilvl w:val="1"/>
          <w:numId w:val="17"/>
        </w:numPr>
        <w:tabs>
          <w:tab w:val="left" w:pos="54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宋体"/>
          <w:color w:val="auto"/>
          <w:sz w:val="22"/>
          <w:szCs w:val="22"/>
        </w:rPr>
      </w:pPr>
      <w:r>
        <w:rPr>
          <w:rFonts w:hint="eastAsia" w:ascii="宋体" w:hAnsi="宋体" w:cs="宋体"/>
          <w:b/>
          <w:color w:val="auto"/>
          <w:sz w:val="22"/>
          <w:szCs w:val="22"/>
        </w:rPr>
        <w:t>投标文件如有修改和增删必须由投标文件签字人在修改和增删处旁签署或盖章，方才有效。</w:t>
      </w:r>
    </w:p>
    <w:p w14:paraId="7F0C7AEF">
      <w:pPr>
        <w:pageBreakBefore w:val="0"/>
        <w:numPr>
          <w:ilvl w:val="1"/>
          <w:numId w:val="17"/>
        </w:numPr>
        <w:tabs>
          <w:tab w:val="left" w:pos="540"/>
          <w:tab w:val="clear" w:pos="992"/>
        </w:tabs>
        <w:kinsoku/>
        <w:wordWrap/>
        <w:topLinePunct w:val="0"/>
        <w:autoSpaceDE/>
        <w:autoSpaceDN/>
        <w:bidi w:val="0"/>
        <w:adjustRightInd/>
        <w:snapToGrid/>
        <w:spacing w:line="400" w:lineRule="exact"/>
        <w:ind w:left="640" w:leftChars="0" w:hanging="567" w:firstLineChars="0"/>
        <w:textAlignment w:val="auto"/>
        <w:rPr>
          <w:rFonts w:ascii="宋体" w:hAnsi="宋体" w:cs="宋体"/>
          <w:color w:val="auto"/>
          <w:sz w:val="22"/>
          <w:szCs w:val="22"/>
        </w:rPr>
      </w:pPr>
      <w:r>
        <w:rPr>
          <w:rFonts w:hint="eastAsia" w:ascii="宋体" w:hAnsi="宋体" w:cs="宋体"/>
          <w:color w:val="auto"/>
          <w:sz w:val="22"/>
          <w:szCs w:val="22"/>
        </w:rPr>
        <w:t>投标文件字迹模糊或在关键的技术、商务条款上表述不清楚，将可能导致其投标被拒绝。</w:t>
      </w:r>
    </w:p>
    <w:p w14:paraId="2416947D">
      <w:pPr>
        <w:pageBreakBefore w:val="0"/>
        <w:numPr>
          <w:ilvl w:val="0"/>
          <w:numId w:val="11"/>
        </w:numPr>
        <w:tabs>
          <w:tab w:val="clear" w:pos="420"/>
        </w:tabs>
        <w:kinsoku/>
        <w:wordWrap/>
        <w:topLinePunct w:val="0"/>
        <w:autoSpaceDE/>
        <w:autoSpaceDN/>
        <w:bidi w:val="0"/>
        <w:adjustRightInd/>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投标文件的密封及标记</w:t>
      </w:r>
    </w:p>
    <w:p w14:paraId="5DCF46E7">
      <w:pPr>
        <w:pageBreakBefore w:val="0"/>
        <w:numPr>
          <w:ilvl w:val="1"/>
          <w:numId w:val="18"/>
        </w:numPr>
        <w:tabs>
          <w:tab w:val="left" w:pos="540"/>
          <w:tab w:val="clear" w:pos="992"/>
        </w:tabs>
        <w:kinsoku/>
        <w:wordWrap/>
        <w:topLinePunct w:val="0"/>
        <w:autoSpaceDE/>
        <w:autoSpaceDN/>
        <w:bidi w:val="0"/>
        <w:adjustRightInd/>
        <w:snapToGrid/>
        <w:spacing w:line="400" w:lineRule="exact"/>
        <w:ind w:left="640" w:leftChars="0" w:hanging="567"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须将投标文件的“资格文件”、“商务技术文件”、“报价文件”单独密封，且在各自的密封袋上标明“资格文件”、“商务技术文件”、“报价文件”字样。封口处贴上封条，启封处加盖投标单位公章。封皮上写明投标招标项目、招标编号，并注明“开标时启封”字样。</w:t>
      </w:r>
    </w:p>
    <w:p w14:paraId="49CF89B9">
      <w:pPr>
        <w:pageBreakBefore w:val="0"/>
        <w:numPr>
          <w:ilvl w:val="1"/>
          <w:numId w:val="18"/>
        </w:numPr>
        <w:tabs>
          <w:tab w:val="left" w:pos="540"/>
          <w:tab w:val="clear" w:pos="992"/>
        </w:tabs>
        <w:kinsoku/>
        <w:wordWrap/>
        <w:topLinePunct w:val="0"/>
        <w:autoSpaceDE/>
        <w:autoSpaceDN/>
        <w:bidi w:val="0"/>
        <w:adjustRightInd/>
        <w:snapToGrid/>
        <w:spacing w:line="400" w:lineRule="exact"/>
        <w:ind w:left="640" w:leftChars="0" w:hanging="567"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如果投标人未按上述要求密封及加写标记，招标人对投标文件的误投和提前启封不负责任。</w:t>
      </w:r>
    </w:p>
    <w:p w14:paraId="4E3EEDAA">
      <w:pPr>
        <w:pageBreakBefore w:val="0"/>
        <w:kinsoku/>
        <w:wordWrap/>
        <w:topLinePunct w:val="0"/>
        <w:autoSpaceDE/>
        <w:autoSpaceDN/>
        <w:bidi w:val="0"/>
        <w:adjustRightInd/>
        <w:snapToGrid/>
        <w:spacing w:before="100" w:beforeAutospacing="1" w:after="100" w:afterAutospacing="1" w:line="400" w:lineRule="exact"/>
        <w:ind w:left="783" w:hanging="783" w:hangingChars="300"/>
        <w:jc w:val="center"/>
        <w:textAlignment w:val="auto"/>
        <w:outlineLvl w:val="0"/>
        <w:rPr>
          <w:rFonts w:ascii="宋体" w:hAnsi="宋体"/>
          <w:color w:val="auto"/>
          <w:sz w:val="22"/>
          <w:szCs w:val="22"/>
          <w:highlight w:val="none"/>
        </w:rPr>
      </w:pPr>
      <w:r>
        <w:rPr>
          <w:rFonts w:hint="eastAsia" w:ascii="宋体" w:hAnsi="宋体"/>
          <w:b/>
          <w:bCs/>
          <w:color w:val="auto"/>
          <w:sz w:val="26"/>
          <w:szCs w:val="26"/>
          <w:highlight w:val="none"/>
        </w:rPr>
        <w:t>五、 投标文件的递交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5611984">
      <w:pPr>
        <w:pageBreakBefore w:val="0"/>
        <w:numPr>
          <w:ilvl w:val="0"/>
          <w:numId w:val="19"/>
        </w:numPr>
        <w:tabs>
          <w:tab w:val="left" w:pos="540"/>
          <w:tab w:val="clear" w:pos="420"/>
        </w:tabs>
        <w:kinsoku/>
        <w:wordWrap/>
        <w:topLinePunct w:val="0"/>
        <w:autoSpaceDE/>
        <w:autoSpaceDN/>
        <w:bidi w:val="0"/>
        <w:adjustRightInd/>
        <w:snapToGrid/>
        <w:spacing w:line="400" w:lineRule="exact"/>
        <w:textAlignment w:val="auto"/>
        <w:rPr>
          <w:rFonts w:ascii="宋体" w:hAnsi="宋体" w:cs="Arial"/>
          <w:b/>
          <w:color w:val="auto"/>
          <w:sz w:val="22"/>
          <w:szCs w:val="22"/>
        </w:rPr>
      </w:pPr>
      <w:bookmarkStart w:id="114" w:name="_Toc223715999"/>
      <w:bookmarkStart w:id="115" w:name="_Toc241404203"/>
      <w:bookmarkStart w:id="116" w:name="_Toc245191315"/>
      <w:bookmarkStart w:id="117" w:name="_Toc262105504"/>
      <w:bookmarkStart w:id="118" w:name="_Toc249758865"/>
      <w:bookmarkStart w:id="119" w:name="_Toc221356888"/>
      <w:bookmarkStart w:id="120" w:name="_Toc5474"/>
      <w:bookmarkStart w:id="121" w:name="_Toc245722282"/>
      <w:bookmarkStart w:id="122" w:name="_Toc221374627"/>
      <w:bookmarkStart w:id="123" w:name="_Toc246261266"/>
      <w:bookmarkStart w:id="124" w:name="_Toc262049419"/>
      <w:bookmarkStart w:id="125" w:name="_Toc222114880"/>
      <w:bookmarkStart w:id="126" w:name="_Toc221356952"/>
      <w:bookmarkStart w:id="127" w:name="_Toc221423620"/>
      <w:bookmarkStart w:id="128" w:name="_Toc249758713"/>
      <w:bookmarkStart w:id="129" w:name="_Toc239145355"/>
      <w:r>
        <w:rPr>
          <w:rFonts w:hint="eastAsia" w:ascii="宋体" w:hAnsi="宋体" w:cs="Arial"/>
          <w:bCs/>
          <w:color w:val="auto"/>
          <w:sz w:val="22"/>
          <w:szCs w:val="22"/>
        </w:rPr>
        <w:t>投标文件的递交</w:t>
      </w:r>
    </w:p>
    <w:p w14:paraId="29181BD6">
      <w:pPr>
        <w:pageBreakBefore w:val="0"/>
        <w:numPr>
          <w:ilvl w:val="1"/>
          <w:numId w:val="20"/>
        </w:numPr>
        <w:kinsoku/>
        <w:wordWrap/>
        <w:topLinePunct w:val="0"/>
        <w:autoSpaceDE/>
        <w:autoSpaceDN/>
        <w:bidi w:val="0"/>
        <w:adjustRightInd/>
        <w:snapToGrid/>
        <w:spacing w:line="400" w:lineRule="exact"/>
        <w:textAlignment w:val="auto"/>
        <w:rPr>
          <w:rFonts w:ascii="宋体" w:hAnsi="宋体"/>
          <w:b/>
          <w:color w:val="auto"/>
          <w:sz w:val="22"/>
          <w:szCs w:val="22"/>
        </w:rPr>
      </w:pPr>
      <w:r>
        <w:rPr>
          <w:rFonts w:hint="eastAsia" w:ascii="宋体" w:hAnsi="宋体" w:cs="新宋体"/>
          <w:b/>
          <w:bCs/>
          <w:color w:val="auto"/>
          <w:sz w:val="22"/>
          <w:szCs w:val="22"/>
        </w:rPr>
        <w:t>▲</w:t>
      </w:r>
      <w:r>
        <w:rPr>
          <w:rFonts w:hint="eastAsia" w:ascii="宋体" w:hAnsi="宋体" w:cs="新宋体"/>
          <w:b/>
          <w:color w:val="auto"/>
          <w:sz w:val="22"/>
          <w:szCs w:val="22"/>
          <w:u w:val="single"/>
        </w:rPr>
        <w:t>投标文件必须在规定的投标截止时间前送达到指定的收标地点(当天递交)</w:t>
      </w:r>
      <w:r>
        <w:rPr>
          <w:rFonts w:hint="eastAsia" w:ascii="宋体" w:hAnsi="宋体" w:cs="新宋体"/>
          <w:b/>
          <w:color w:val="auto"/>
          <w:sz w:val="22"/>
          <w:szCs w:val="22"/>
        </w:rPr>
        <w:t>；</w:t>
      </w:r>
    </w:p>
    <w:p w14:paraId="0325F1B9">
      <w:pPr>
        <w:pageBreakBefore w:val="0"/>
        <w:numPr>
          <w:ilvl w:val="1"/>
          <w:numId w:val="20"/>
        </w:numPr>
        <w:kinsoku/>
        <w:wordWrap/>
        <w:topLinePunct w:val="0"/>
        <w:autoSpaceDE/>
        <w:autoSpaceDN/>
        <w:bidi w:val="0"/>
        <w:adjustRightInd/>
        <w:snapToGrid/>
        <w:spacing w:line="400" w:lineRule="exact"/>
        <w:textAlignment w:val="auto"/>
        <w:rPr>
          <w:rFonts w:ascii="宋体" w:hAnsi="宋体"/>
          <w:b/>
          <w:color w:val="auto"/>
          <w:sz w:val="22"/>
          <w:szCs w:val="22"/>
          <w:u w:val="single"/>
        </w:rPr>
      </w:pPr>
      <w:r>
        <w:rPr>
          <w:rFonts w:hint="eastAsia" w:ascii="宋体" w:hAnsi="宋体"/>
          <w:b/>
          <w:color w:val="auto"/>
          <w:sz w:val="22"/>
          <w:szCs w:val="22"/>
          <w:u w:val="single"/>
        </w:rPr>
        <w:t>▲在递交投标文件同时递交以下证明文件，由评标委员会确认投标资格：</w:t>
      </w:r>
    </w:p>
    <w:p w14:paraId="3C7035EA">
      <w:pPr>
        <w:pStyle w:val="121"/>
        <w:pageBreakBefore w:val="0"/>
        <w:widowControl/>
        <w:numPr>
          <w:ilvl w:val="0"/>
          <w:numId w:val="21"/>
        </w:numPr>
        <w:tabs>
          <w:tab w:val="left" w:pos="891"/>
          <w:tab w:val="left" w:pos="1070"/>
        </w:tabs>
        <w:kinsoku/>
        <w:wordWrap/>
        <w:overflowPunct w:val="0"/>
        <w:topLinePunct w:val="0"/>
        <w:autoSpaceDE/>
        <w:autoSpaceDN/>
        <w:bidi w:val="0"/>
        <w:adjustRightInd/>
        <w:snapToGrid/>
        <w:spacing w:line="400" w:lineRule="exact"/>
        <w:ind w:left="851" w:hanging="425" w:firstLineChars="0"/>
        <w:jc w:val="left"/>
        <w:textAlignment w:val="auto"/>
        <w:rPr>
          <w:rFonts w:ascii="宋体" w:hAnsi="宋体" w:cs="新宋体"/>
          <w:b/>
          <w:color w:val="auto"/>
          <w:sz w:val="22"/>
          <w:szCs w:val="22"/>
        </w:rPr>
      </w:pPr>
      <w:r>
        <w:rPr>
          <w:rFonts w:hint="eastAsia" w:ascii="宋体" w:hAnsi="宋体" w:cs="新宋体"/>
          <w:b/>
          <w:color w:val="auto"/>
          <w:sz w:val="22"/>
          <w:szCs w:val="22"/>
        </w:rPr>
        <w:t>法定代表人有效身份证明原件、企业法人营业执照复印件（若投标人代表为法定代表人，如密封在投标文件技术资信标中，在技术资信标开启后经评标委员会查验符合要求亦为有效）；</w:t>
      </w:r>
    </w:p>
    <w:p w14:paraId="6AFC8FCF">
      <w:pPr>
        <w:pStyle w:val="121"/>
        <w:pageBreakBefore w:val="0"/>
        <w:widowControl/>
        <w:numPr>
          <w:ilvl w:val="0"/>
          <w:numId w:val="21"/>
        </w:numPr>
        <w:tabs>
          <w:tab w:val="left" w:pos="891"/>
          <w:tab w:val="left" w:pos="1070"/>
        </w:tabs>
        <w:kinsoku/>
        <w:wordWrap/>
        <w:overflowPunct w:val="0"/>
        <w:topLinePunct w:val="0"/>
        <w:autoSpaceDE/>
        <w:autoSpaceDN/>
        <w:bidi w:val="0"/>
        <w:adjustRightInd/>
        <w:snapToGrid/>
        <w:spacing w:line="400" w:lineRule="exact"/>
        <w:ind w:left="851" w:hanging="425" w:firstLineChars="0"/>
        <w:jc w:val="left"/>
        <w:textAlignment w:val="auto"/>
        <w:rPr>
          <w:rFonts w:ascii="宋体" w:hAnsi="宋体" w:cs="新宋体"/>
          <w:b/>
          <w:color w:val="auto"/>
          <w:sz w:val="22"/>
          <w:szCs w:val="22"/>
        </w:rPr>
      </w:pPr>
      <w:r>
        <w:rPr>
          <w:rFonts w:hint="eastAsia" w:ascii="宋体" w:hAnsi="宋体" w:cs="新宋体"/>
          <w:b/>
          <w:color w:val="auto"/>
          <w:sz w:val="22"/>
          <w:szCs w:val="22"/>
        </w:rPr>
        <w:t>法定代表人授权书原件及授权代表有效身份证明原件（法定代表人授权书原件如密封在投标文件技术资信标中，在技术资信标开启后经评标委员会查验符合要求亦为有效）；</w:t>
      </w:r>
    </w:p>
    <w:p w14:paraId="534D0CCC">
      <w:pPr>
        <w:pageBreakBefore w:val="0"/>
        <w:numPr>
          <w:ilvl w:val="0"/>
          <w:numId w:val="19"/>
        </w:numPr>
        <w:tabs>
          <w:tab w:val="left" w:pos="540"/>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rPr>
      </w:pPr>
      <w:r>
        <w:rPr>
          <w:rFonts w:hint="eastAsia" w:ascii="宋体" w:hAnsi="宋体" w:cs="Arial"/>
          <w:bCs/>
          <w:color w:val="auto"/>
          <w:sz w:val="22"/>
          <w:szCs w:val="22"/>
        </w:rPr>
        <w:t>投标文件的修改和撤回</w:t>
      </w:r>
    </w:p>
    <w:p w14:paraId="7363FA9A">
      <w:pPr>
        <w:pageBreakBefore w:val="0"/>
        <w:numPr>
          <w:ilvl w:val="1"/>
          <w:numId w:val="22"/>
        </w:numPr>
        <w:tabs>
          <w:tab w:val="clear" w:pos="992"/>
        </w:tabs>
        <w:kinsoku/>
        <w:wordWrap/>
        <w:topLinePunct w:val="0"/>
        <w:autoSpaceDE/>
        <w:autoSpaceDN/>
        <w:bidi w:val="0"/>
        <w:adjustRightInd/>
        <w:snapToGrid/>
        <w:spacing w:line="400" w:lineRule="exact"/>
        <w:ind w:left="540" w:hanging="540"/>
        <w:textAlignment w:val="auto"/>
        <w:rPr>
          <w:rFonts w:ascii="宋体" w:hAnsi="宋体" w:cs="Arial"/>
          <w:bCs/>
          <w:color w:val="auto"/>
          <w:sz w:val="22"/>
          <w:szCs w:val="22"/>
        </w:rPr>
      </w:pPr>
      <w:r>
        <w:rPr>
          <w:rFonts w:hint="eastAsia" w:ascii="宋体" w:hAnsi="宋体" w:cs="Arial"/>
          <w:b/>
          <w:color w:val="auto"/>
          <w:sz w:val="22"/>
          <w:szCs w:val="22"/>
        </w:rPr>
        <w:t>在投标截止时间前，投标人可以用书面形式提出修改或撤回其投标并送达到招标人，但不得影响开标活动的正常进行。</w:t>
      </w:r>
    </w:p>
    <w:p w14:paraId="1764829C">
      <w:pPr>
        <w:pageBreakBefore w:val="0"/>
        <w:numPr>
          <w:ilvl w:val="1"/>
          <w:numId w:val="22"/>
        </w:numPr>
        <w:tabs>
          <w:tab w:val="clear" w:pos="992"/>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rPr>
      </w:pPr>
      <w:r>
        <w:rPr>
          <w:rFonts w:hint="eastAsia" w:ascii="宋体" w:hAnsi="宋体" w:cs="Arial"/>
          <w:bCs/>
          <w:color w:val="auto"/>
          <w:sz w:val="22"/>
          <w:szCs w:val="22"/>
        </w:rPr>
        <w:t>“投标文件修改”或“投标文件撤回通知”都应密封并在密封袋上写明投标项目名称、编号、投标单位名称，并注明“投标文件修改”或“投标文件撤回通知”字样。</w:t>
      </w:r>
    </w:p>
    <w:p w14:paraId="7EA1ABBA">
      <w:pPr>
        <w:pageBreakBefore w:val="0"/>
        <w:numPr>
          <w:ilvl w:val="1"/>
          <w:numId w:val="22"/>
        </w:numPr>
        <w:tabs>
          <w:tab w:val="clear" w:pos="992"/>
        </w:tabs>
        <w:kinsoku/>
        <w:wordWrap/>
        <w:topLinePunct w:val="0"/>
        <w:autoSpaceDE/>
        <w:autoSpaceDN/>
        <w:bidi w:val="0"/>
        <w:adjustRightInd/>
        <w:snapToGrid/>
        <w:spacing w:line="400" w:lineRule="exact"/>
        <w:ind w:left="540" w:hanging="540"/>
        <w:textAlignment w:val="auto"/>
        <w:rPr>
          <w:rFonts w:ascii="宋体" w:hAnsi="宋体" w:cs="Arial"/>
          <w:color w:val="auto"/>
          <w:sz w:val="22"/>
          <w:szCs w:val="22"/>
        </w:rPr>
      </w:pPr>
      <w:r>
        <w:rPr>
          <w:rFonts w:hint="eastAsia" w:ascii="宋体" w:hAnsi="宋体" w:cs="Arial"/>
          <w:bCs/>
          <w:color w:val="auto"/>
          <w:sz w:val="22"/>
          <w:szCs w:val="22"/>
        </w:rPr>
        <w:t>从投标截止日期起至投标有效期满这段时间内，投标人不得撤回其投标</w:t>
      </w:r>
      <w:r>
        <w:rPr>
          <w:rFonts w:hint="eastAsia" w:ascii="宋体" w:hAnsi="宋体" w:cs="Arial"/>
          <w:color w:val="auto"/>
          <w:sz w:val="22"/>
          <w:szCs w:val="22"/>
        </w:rPr>
        <w:t>。</w:t>
      </w:r>
    </w:p>
    <w:p w14:paraId="7F5E810F">
      <w:pPr>
        <w:pageBreakBefore w:val="0"/>
        <w:numPr>
          <w:ilvl w:val="0"/>
          <w:numId w:val="19"/>
        </w:numPr>
        <w:tabs>
          <w:tab w:val="left" w:pos="540"/>
          <w:tab w:val="clear" w:pos="420"/>
        </w:tabs>
        <w:kinsoku/>
        <w:wordWrap/>
        <w:topLinePunct w:val="0"/>
        <w:autoSpaceDE/>
        <w:autoSpaceDN/>
        <w:bidi w:val="0"/>
        <w:adjustRightInd/>
        <w:snapToGrid/>
        <w:spacing w:line="400" w:lineRule="exact"/>
        <w:textAlignment w:val="auto"/>
        <w:rPr>
          <w:rFonts w:ascii="宋体" w:hAnsi="宋体" w:cs="Arial"/>
          <w:b/>
          <w:color w:val="auto"/>
          <w:sz w:val="22"/>
          <w:szCs w:val="22"/>
          <w:u w:val="single"/>
        </w:rPr>
      </w:pPr>
      <w:r>
        <w:rPr>
          <w:rFonts w:hint="eastAsia" w:ascii="宋体" w:hAnsi="宋体" w:cs="Arial"/>
          <w:b/>
          <w:bCs/>
          <w:color w:val="auto"/>
          <w:szCs w:val="21"/>
        </w:rPr>
        <w:t>▲</w:t>
      </w:r>
      <w:r>
        <w:rPr>
          <w:rFonts w:hint="eastAsia" w:ascii="宋体" w:hAnsi="宋体" w:cs="Arial"/>
          <w:bCs/>
          <w:color w:val="auto"/>
          <w:sz w:val="22"/>
          <w:szCs w:val="22"/>
          <w:u w:val="single"/>
        </w:rPr>
        <w:t>发生下列情况之一的投标文件将拒收：</w:t>
      </w:r>
    </w:p>
    <w:p w14:paraId="101E7127">
      <w:pPr>
        <w:pageBreakBefore w:val="0"/>
        <w:numPr>
          <w:ilvl w:val="1"/>
          <w:numId w:val="23"/>
        </w:numPr>
        <w:tabs>
          <w:tab w:val="clear" w:pos="992"/>
        </w:tabs>
        <w:kinsoku/>
        <w:wordWrap/>
        <w:topLinePunct w:val="0"/>
        <w:autoSpaceDE/>
        <w:autoSpaceDN/>
        <w:bidi w:val="0"/>
        <w:adjustRightInd/>
        <w:snapToGrid/>
        <w:spacing w:line="400" w:lineRule="exact"/>
        <w:ind w:left="540" w:hanging="540"/>
        <w:textAlignment w:val="auto"/>
        <w:rPr>
          <w:rFonts w:ascii="宋体" w:hAnsi="宋体" w:cs="Arial"/>
          <w:b/>
          <w:color w:val="auto"/>
          <w:sz w:val="22"/>
          <w:szCs w:val="22"/>
          <w:u w:val="single"/>
        </w:rPr>
      </w:pPr>
      <w:r>
        <w:rPr>
          <w:rFonts w:hint="eastAsia" w:ascii="宋体" w:hAnsi="宋体" w:cs="Arial"/>
          <w:b/>
          <w:bCs/>
          <w:color w:val="auto"/>
          <w:szCs w:val="21"/>
        </w:rPr>
        <w:t>▲</w:t>
      </w:r>
      <w:r>
        <w:rPr>
          <w:rFonts w:hint="eastAsia" w:ascii="宋体" w:hAnsi="宋体" w:cs="Arial"/>
          <w:b/>
          <w:bCs/>
          <w:color w:val="auto"/>
          <w:sz w:val="22"/>
          <w:szCs w:val="22"/>
          <w:u w:val="single"/>
        </w:rPr>
        <w:t>在投标截止时间以后送达的投标文件；</w:t>
      </w:r>
    </w:p>
    <w:p w14:paraId="5BD951FE">
      <w:pPr>
        <w:pageBreakBefore w:val="0"/>
        <w:numPr>
          <w:ilvl w:val="1"/>
          <w:numId w:val="23"/>
        </w:numPr>
        <w:tabs>
          <w:tab w:val="clear" w:pos="992"/>
        </w:tabs>
        <w:kinsoku/>
        <w:wordWrap/>
        <w:topLinePunct w:val="0"/>
        <w:autoSpaceDE/>
        <w:autoSpaceDN/>
        <w:bidi w:val="0"/>
        <w:adjustRightInd/>
        <w:snapToGrid/>
        <w:spacing w:line="400" w:lineRule="exact"/>
        <w:ind w:left="540" w:hanging="540"/>
        <w:textAlignment w:val="auto"/>
        <w:rPr>
          <w:rFonts w:ascii="宋体" w:hAnsi="宋体" w:cs="Arial"/>
          <w:b/>
          <w:color w:val="auto"/>
          <w:sz w:val="22"/>
          <w:szCs w:val="22"/>
          <w:u w:val="single"/>
        </w:rPr>
      </w:pPr>
      <w:r>
        <w:rPr>
          <w:rFonts w:hint="eastAsia" w:ascii="宋体" w:hAnsi="宋体" w:cs="Arial"/>
          <w:b/>
          <w:bCs/>
          <w:color w:val="auto"/>
          <w:szCs w:val="21"/>
        </w:rPr>
        <w:t>▲</w:t>
      </w:r>
      <w:r>
        <w:rPr>
          <w:rFonts w:hint="eastAsia" w:ascii="宋体" w:hAnsi="宋体" w:cs="Arial"/>
          <w:b/>
          <w:color w:val="auto"/>
          <w:sz w:val="22"/>
          <w:szCs w:val="22"/>
          <w:u w:val="single"/>
        </w:rPr>
        <w:t>未密封或未装订的投标文件及由于包装不妥在送达途中严重破损或失散的投标文件；</w:t>
      </w:r>
    </w:p>
    <w:p w14:paraId="78410FAA">
      <w:pPr>
        <w:pageBreakBefore w:val="0"/>
        <w:numPr>
          <w:ilvl w:val="1"/>
          <w:numId w:val="23"/>
        </w:numPr>
        <w:tabs>
          <w:tab w:val="clear" w:pos="992"/>
        </w:tabs>
        <w:kinsoku/>
        <w:wordWrap/>
        <w:topLinePunct w:val="0"/>
        <w:autoSpaceDE/>
        <w:autoSpaceDN/>
        <w:bidi w:val="0"/>
        <w:adjustRightInd/>
        <w:snapToGrid/>
        <w:spacing w:line="400" w:lineRule="exact"/>
        <w:ind w:left="540" w:hanging="540"/>
        <w:textAlignment w:val="auto"/>
        <w:rPr>
          <w:rFonts w:ascii="宋体" w:hAnsi="宋体" w:cs="Arial"/>
          <w:b/>
          <w:color w:val="auto"/>
          <w:sz w:val="22"/>
          <w:szCs w:val="22"/>
        </w:rPr>
      </w:pPr>
      <w:r>
        <w:rPr>
          <w:rFonts w:hint="eastAsia" w:ascii="宋体" w:hAnsi="宋体" w:cs="Arial"/>
          <w:b/>
          <w:bCs/>
          <w:color w:val="auto"/>
          <w:szCs w:val="21"/>
        </w:rPr>
        <w:t>▲</w:t>
      </w:r>
      <w:r>
        <w:rPr>
          <w:rFonts w:hint="eastAsia" w:ascii="宋体" w:hAnsi="宋体" w:cs="Arial"/>
          <w:b/>
          <w:color w:val="auto"/>
          <w:sz w:val="22"/>
          <w:szCs w:val="22"/>
          <w:u w:val="single"/>
        </w:rPr>
        <w:t>以电讯形式递交的投标文件。</w:t>
      </w:r>
    </w:p>
    <w:p w14:paraId="679DDDA5">
      <w:pPr>
        <w:pageBreakBefore w:val="0"/>
        <w:tabs>
          <w:tab w:val="left" w:pos="360"/>
          <w:tab w:val="left" w:pos="540"/>
          <w:tab w:val="left" w:pos="1260"/>
        </w:tabs>
        <w:kinsoku/>
        <w:wordWrap/>
        <w:topLinePunct w:val="0"/>
        <w:autoSpaceDE/>
        <w:autoSpaceDN/>
        <w:bidi w:val="0"/>
        <w:adjustRightInd/>
        <w:snapToGrid/>
        <w:spacing w:before="100" w:beforeAutospacing="1" w:after="100" w:afterAutospacing="1" w:line="400" w:lineRule="exact"/>
        <w:ind w:left="919" w:hanging="919" w:hangingChars="352"/>
        <w:jc w:val="center"/>
        <w:textAlignment w:val="auto"/>
        <w:outlineLvl w:val="0"/>
        <w:rPr>
          <w:rFonts w:ascii="宋体" w:hAnsi="宋体"/>
          <w:color w:val="auto"/>
          <w:sz w:val="22"/>
          <w:szCs w:val="22"/>
          <w:highlight w:val="none"/>
        </w:rPr>
      </w:pPr>
      <w:r>
        <w:rPr>
          <w:rFonts w:hint="eastAsia" w:ascii="宋体" w:hAnsi="宋体"/>
          <w:b/>
          <w:bCs/>
          <w:color w:val="auto"/>
          <w:sz w:val="26"/>
          <w:szCs w:val="26"/>
          <w:highlight w:val="none"/>
        </w:rPr>
        <w:t>六、 开标</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C555C22">
      <w:pPr>
        <w:pageBreakBefore w:val="0"/>
        <w:numPr>
          <w:ilvl w:val="0"/>
          <w:numId w:val="24"/>
        </w:numPr>
        <w:tabs>
          <w:tab w:val="clear" w:pos="420"/>
        </w:tabs>
        <w:kinsoku/>
        <w:wordWrap/>
        <w:topLinePunct w:val="0"/>
        <w:autoSpaceDE/>
        <w:autoSpaceDN/>
        <w:bidi w:val="0"/>
        <w:adjustRightInd/>
        <w:snapToGrid/>
        <w:spacing w:line="400" w:lineRule="exact"/>
        <w:textAlignment w:val="auto"/>
        <w:rPr>
          <w:rFonts w:hint="eastAsia" w:ascii="宋体" w:hAnsi="宋体" w:eastAsia="宋体" w:cs="Arial"/>
          <w:bCs/>
          <w:color w:val="auto"/>
          <w:sz w:val="22"/>
          <w:szCs w:val="22"/>
          <w:highlight w:val="none"/>
        </w:rPr>
      </w:pPr>
      <w:bookmarkStart w:id="130" w:name="_Toc239145356"/>
      <w:bookmarkStart w:id="131" w:name="_Toc249758866"/>
      <w:bookmarkStart w:id="132" w:name="_Toc223716000"/>
      <w:bookmarkStart w:id="133" w:name="_Toc262049420"/>
      <w:bookmarkStart w:id="134" w:name="_Toc245722283"/>
      <w:bookmarkStart w:id="135" w:name="_Toc246261267"/>
      <w:bookmarkStart w:id="136" w:name="_Toc221423621"/>
      <w:bookmarkStart w:id="137" w:name="_Toc221374628"/>
      <w:bookmarkStart w:id="138" w:name="_Toc245191316"/>
      <w:bookmarkStart w:id="139" w:name="_Toc241404204"/>
      <w:bookmarkStart w:id="140" w:name="_Toc221356889"/>
      <w:bookmarkStart w:id="141" w:name="_Toc221356953"/>
      <w:bookmarkStart w:id="142" w:name="_Toc249758714"/>
      <w:bookmarkStart w:id="143" w:name="_Toc222114881"/>
      <w:bookmarkStart w:id="144" w:name="_Toc262105505"/>
      <w:r>
        <w:rPr>
          <w:rFonts w:hint="eastAsia" w:ascii="宋体" w:hAnsi="宋体" w:eastAsia="宋体" w:cs="Arial"/>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1565D13B">
      <w:pPr>
        <w:pageBreakBefore w:val="0"/>
        <w:numPr>
          <w:ilvl w:val="0"/>
          <w:numId w:val="24"/>
        </w:numPr>
        <w:tabs>
          <w:tab w:val="clear" w:pos="420"/>
        </w:tabs>
        <w:kinsoku/>
        <w:wordWrap/>
        <w:topLinePunct w:val="0"/>
        <w:autoSpaceDE/>
        <w:autoSpaceDN/>
        <w:bidi w:val="0"/>
        <w:adjustRightInd/>
        <w:snapToGrid/>
        <w:spacing w:line="400" w:lineRule="exact"/>
        <w:textAlignment w:val="auto"/>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开标时邀请所有投标人代表参加，参加开标的代表应准时出席并签名报到以证明其出席。投标人代表未参加开标会的，事后不得对开标过程和开标结果提出异议。</w:t>
      </w:r>
    </w:p>
    <w:p w14:paraId="43E58DE5">
      <w:pPr>
        <w:pageBreakBefore w:val="0"/>
        <w:numPr>
          <w:ilvl w:val="0"/>
          <w:numId w:val="24"/>
        </w:numPr>
        <w:tabs>
          <w:tab w:val="clear" w:pos="420"/>
        </w:tabs>
        <w:kinsoku/>
        <w:wordWrap/>
        <w:topLinePunct w:val="0"/>
        <w:autoSpaceDE/>
        <w:autoSpaceDN/>
        <w:bidi w:val="0"/>
        <w:adjustRightInd/>
        <w:snapToGrid/>
        <w:spacing w:line="400" w:lineRule="exact"/>
        <w:textAlignment w:val="auto"/>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时，应当由投标人推选的代表检查投标文件的密封情况；经确认无误后，由招标代理机构工作人员当众拆封，宣布投标人名称、投标价格和招标文件规定的需要宣布的其他内容。招标代理机构指定专人作好记录，存档备查。投标人代表应对宣读内容及记录结果当场进行校核和签字确认，如有异议应当场提出，否则视为默许同意。</w:t>
      </w:r>
    </w:p>
    <w:p w14:paraId="1DB1AD3B">
      <w:pPr>
        <w:pageBreakBefore w:val="0"/>
        <w:kinsoku/>
        <w:wordWrap/>
        <w:topLinePunct w:val="0"/>
        <w:autoSpaceDE/>
        <w:autoSpaceDN/>
        <w:bidi w:val="0"/>
        <w:adjustRightInd/>
        <w:snapToGrid/>
        <w:spacing w:before="100" w:beforeAutospacing="1" w:after="100" w:afterAutospacing="1" w:line="400" w:lineRule="exact"/>
        <w:ind w:left="-6"/>
        <w:jc w:val="center"/>
        <w:textAlignment w:val="auto"/>
        <w:outlineLvl w:val="0"/>
        <w:rPr>
          <w:rFonts w:ascii="宋体" w:hAnsi="宋体"/>
          <w:b/>
          <w:bCs/>
          <w:color w:val="auto"/>
          <w:sz w:val="26"/>
          <w:szCs w:val="26"/>
          <w:highlight w:val="none"/>
        </w:rPr>
      </w:pPr>
      <w:bookmarkStart w:id="145" w:name="_Toc20819"/>
      <w:r>
        <w:rPr>
          <w:rFonts w:hint="eastAsia" w:ascii="宋体" w:hAnsi="宋体"/>
          <w:b/>
          <w:bCs/>
          <w:color w:val="auto"/>
          <w:sz w:val="26"/>
          <w:szCs w:val="26"/>
          <w:highlight w:val="none"/>
        </w:rPr>
        <w:t>七、 评标</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BE31FE8">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0461061F">
      <w:pPr>
        <w:pageBreakBefore w:val="0"/>
        <w:kinsoku/>
        <w:wordWrap/>
        <w:topLinePunct w:val="0"/>
        <w:autoSpaceDE/>
        <w:autoSpaceDN/>
        <w:bidi w:val="0"/>
        <w:adjustRightInd/>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5B736DB9">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1D905BE9">
      <w:pPr>
        <w:pageBreakBefore w:val="0"/>
        <w:kinsoku/>
        <w:wordWrap/>
        <w:topLinePunct w:val="0"/>
        <w:autoSpaceDE/>
        <w:autoSpaceDN/>
        <w:bidi w:val="0"/>
        <w:adjustRightInd/>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3177A938">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32A692C1">
      <w:pPr>
        <w:pageBreakBefore w:val="0"/>
        <w:numPr>
          <w:ilvl w:val="1"/>
          <w:numId w:val="26"/>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资格性审查。</w:t>
      </w:r>
    </w:p>
    <w:p w14:paraId="3357C329">
      <w:pPr>
        <w:pStyle w:val="121"/>
        <w:pageBreakBefore w:val="0"/>
        <w:numPr>
          <w:ilvl w:val="0"/>
          <w:numId w:val="0"/>
        </w:numPr>
        <w:tabs>
          <w:tab w:val="left" w:pos="425"/>
        </w:tabs>
        <w:kinsoku/>
        <w:wordWrap/>
        <w:overflowPunct w:val="0"/>
        <w:topLinePunct w:val="0"/>
        <w:autoSpaceDE/>
        <w:autoSpaceDN/>
        <w:bidi w:val="0"/>
        <w:adjustRightInd/>
        <w:snapToGrid/>
        <w:spacing w:line="400" w:lineRule="exact"/>
        <w:ind w:left="284" w:leftChars="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1BBBB517">
      <w:pPr>
        <w:pageBreakBefore w:val="0"/>
        <w:numPr>
          <w:ilvl w:val="1"/>
          <w:numId w:val="26"/>
        </w:numPr>
        <w:tabs>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符合性检查。依据</w:t>
      </w:r>
      <w:r>
        <w:rPr>
          <w:rFonts w:hint="eastAsia" w:ascii="宋体" w:hAnsi="宋体"/>
          <w:bCs/>
          <w:color w:val="auto"/>
          <w:sz w:val="22"/>
          <w:szCs w:val="22"/>
        </w:rPr>
        <w:t>招标文件的规定，从投标文件中的有效性、完整性和对招标文件的响应程度进行审查，以确定是否对招标文件的实质性要求作出响应</w:t>
      </w:r>
      <w:r>
        <w:rPr>
          <w:rFonts w:hint="eastAsia" w:ascii="宋体" w:hAnsi="宋体"/>
          <w:bCs/>
          <w:color w:val="auto"/>
          <w:sz w:val="22"/>
          <w:szCs w:val="22"/>
          <w:highlight w:val="none"/>
        </w:rPr>
        <w:t>。</w:t>
      </w:r>
    </w:p>
    <w:p w14:paraId="1C8C15EE">
      <w:pPr>
        <w:pageBreakBefore w:val="0"/>
        <w:numPr>
          <w:ilvl w:val="1"/>
          <w:numId w:val="26"/>
        </w:numPr>
        <w:tabs>
          <w:tab w:val="clear" w:pos="992"/>
        </w:tabs>
        <w:kinsoku/>
        <w:wordWrap/>
        <w:topLinePunct w:val="0"/>
        <w:autoSpaceDE/>
        <w:autoSpaceDN/>
        <w:bidi w:val="0"/>
        <w:adjustRightInd/>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16969EC6">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134BC168">
      <w:pPr>
        <w:pageBreakBefore w:val="0"/>
        <w:numPr>
          <w:ilvl w:val="1"/>
          <w:numId w:val="27"/>
        </w:numPr>
        <w:tabs>
          <w:tab w:val="clear" w:pos="992"/>
        </w:tabs>
        <w:kinsoku/>
        <w:wordWrap/>
        <w:topLinePunct w:val="0"/>
        <w:autoSpaceDE/>
        <w:autoSpaceDN/>
        <w:bidi w:val="0"/>
        <w:adjustRightInd/>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5E7D50E0">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投标文件未加盖单位公章、无法定代表人签字（或盖章）或其授权代表签字（或盖章）的；</w:t>
      </w:r>
    </w:p>
    <w:p w14:paraId="344F5D25">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58A0DAEB">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546EAA5D">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753C9BE0">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65BEA3AA">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657AB07E">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2BB44FC6">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w:t>
      </w:r>
      <w:r>
        <w:rPr>
          <w:rFonts w:hint="eastAsia" w:ascii="宋体" w:hAnsi="宋体" w:cs="宋体"/>
          <w:bCs/>
          <w:color w:val="auto"/>
          <w:kern w:val="0"/>
          <w:sz w:val="22"/>
          <w:szCs w:val="22"/>
          <w:highlight w:val="none"/>
          <w:u w:val="single"/>
          <w:lang w:val="en-US" w:eastAsia="zh-CN"/>
        </w:rPr>
        <w:t>有可能影响产品质量或者不能诚信履约的，</w:t>
      </w:r>
      <w:r>
        <w:rPr>
          <w:rFonts w:hint="eastAsia" w:ascii="宋体" w:hAnsi="宋体" w:cs="宋体"/>
          <w:bCs/>
          <w:color w:val="auto"/>
          <w:kern w:val="0"/>
          <w:sz w:val="22"/>
          <w:szCs w:val="22"/>
          <w:highlight w:val="none"/>
          <w:u w:val="single"/>
        </w:rPr>
        <w:t>且在评标现场合理的时间内不能证明其报价合理性的；</w:t>
      </w:r>
    </w:p>
    <w:p w14:paraId="1D80CF68">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08043393">
      <w:pPr>
        <w:pageBreakBefore w:val="0"/>
        <w:numPr>
          <w:ilvl w:val="0"/>
          <w:numId w:val="28"/>
        </w:numPr>
        <w:kinsoku/>
        <w:wordWrap/>
        <w:topLinePunct w:val="0"/>
        <w:autoSpaceDE/>
        <w:autoSpaceDN/>
        <w:bidi w:val="0"/>
        <w:adjustRightInd/>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124BF50D">
      <w:pPr>
        <w:pageBreakBefore w:val="0"/>
        <w:numPr>
          <w:ilvl w:val="1"/>
          <w:numId w:val="27"/>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65FA121E">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3556FAE5">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27847B16">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4A987C27">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4）出现其它不符合招标文件中规定的实质性要求的投标文件，是否为偏离实质性要求由评标委员会认定。</w:t>
      </w:r>
    </w:p>
    <w:p w14:paraId="4C8E7B92">
      <w:pPr>
        <w:pageBreakBefore w:val="0"/>
        <w:numPr>
          <w:ilvl w:val="1"/>
          <w:numId w:val="27"/>
        </w:numPr>
        <w:tabs>
          <w:tab w:val="clear" w:pos="992"/>
        </w:tabs>
        <w:kinsoku/>
        <w:wordWrap/>
        <w:topLinePunct w:val="0"/>
        <w:autoSpaceDE/>
        <w:autoSpaceDN/>
        <w:bidi w:val="0"/>
        <w:adjustRightInd/>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1A83B81C">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629AD76C">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15FEAED8">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3B8E5836">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160A7CC8">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14225968">
      <w:pPr>
        <w:pageBreakBefore w:val="0"/>
        <w:numPr>
          <w:ilvl w:val="1"/>
          <w:numId w:val="27"/>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03BC1E37">
      <w:pPr>
        <w:pageBreakBefore w:val="0"/>
        <w:numPr>
          <w:ilvl w:val="1"/>
          <w:numId w:val="27"/>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w:t>
      </w:r>
      <w:r>
        <w:rPr>
          <w:rFonts w:hint="eastAsia" w:ascii="宋体" w:hAnsi="宋体" w:cs="Arial"/>
          <w:color w:val="auto"/>
          <w:sz w:val="22"/>
          <w:szCs w:val="22"/>
          <w:highlight w:val="none"/>
          <w:lang w:eastAsia="zh-CN"/>
        </w:rPr>
        <w:t>撤销</w:t>
      </w:r>
      <w:r>
        <w:rPr>
          <w:rFonts w:hint="eastAsia" w:ascii="宋体" w:hAnsi="宋体" w:cs="Arial"/>
          <w:color w:val="auto"/>
          <w:sz w:val="22"/>
          <w:szCs w:val="22"/>
          <w:highlight w:val="none"/>
        </w:rPr>
        <w:t>不合要求的偏离或保留从而使其投标成为实质上响应的投标。</w:t>
      </w:r>
    </w:p>
    <w:p w14:paraId="6E7E52AF">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27FAA494">
      <w:pPr>
        <w:pageBreakBefore w:val="0"/>
        <w:numPr>
          <w:ilvl w:val="1"/>
          <w:numId w:val="29"/>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bCs/>
          <w:color w:val="auto"/>
          <w:sz w:val="22"/>
          <w:szCs w:val="22"/>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r>
        <w:rPr>
          <w:rFonts w:hint="eastAsia" w:ascii="宋体" w:hAnsi="宋体" w:cs="Arial"/>
          <w:color w:val="auto"/>
          <w:sz w:val="22"/>
          <w:szCs w:val="22"/>
          <w:highlight w:val="none"/>
        </w:rPr>
        <w:t>。</w:t>
      </w:r>
    </w:p>
    <w:p w14:paraId="54B98061">
      <w:pPr>
        <w:pageBreakBefore w:val="0"/>
        <w:numPr>
          <w:ilvl w:val="1"/>
          <w:numId w:val="29"/>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b/>
          <w:color w:val="auto"/>
          <w:sz w:val="22"/>
          <w:szCs w:val="22"/>
        </w:rPr>
        <w:t>经澄清后，若偏差仍存在，且不可接受，投标人则被认为是“没有实质性响应招标文件要求”，其投标不进入下一步评审</w:t>
      </w:r>
      <w:r>
        <w:rPr>
          <w:rFonts w:hint="eastAsia" w:ascii="宋体" w:hAnsi="宋体" w:cs="Arial"/>
          <w:color w:val="auto"/>
          <w:sz w:val="22"/>
          <w:szCs w:val="22"/>
          <w:highlight w:val="none"/>
        </w:rPr>
        <w:t>。</w:t>
      </w:r>
    </w:p>
    <w:p w14:paraId="7F7743B3">
      <w:pPr>
        <w:pageBreakBefore w:val="0"/>
        <w:numPr>
          <w:ilvl w:val="1"/>
          <w:numId w:val="29"/>
        </w:numPr>
        <w:tabs>
          <w:tab w:val="clear" w:pos="992"/>
        </w:tabs>
        <w:kinsoku/>
        <w:wordWrap/>
        <w:topLinePunct w:val="0"/>
        <w:autoSpaceDE/>
        <w:autoSpaceDN/>
        <w:bidi w:val="0"/>
        <w:adjustRightInd/>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w:t>
      </w:r>
      <w:r>
        <w:rPr>
          <w:rFonts w:hint="eastAsia" w:ascii="宋体" w:hAnsi="宋体" w:cs="Arial"/>
          <w:b/>
          <w:bCs/>
          <w:color w:val="auto"/>
          <w:sz w:val="22"/>
          <w:szCs w:val="22"/>
          <w:highlight w:val="none"/>
          <w:lang w:val="en-US" w:eastAsia="zh-CN"/>
        </w:rPr>
        <w:t>报价文件</w:t>
      </w:r>
      <w:r>
        <w:rPr>
          <w:rFonts w:hint="eastAsia" w:ascii="宋体" w:hAnsi="宋体" w:cs="Arial"/>
          <w:b/>
          <w:bCs/>
          <w:color w:val="auto"/>
          <w:sz w:val="22"/>
          <w:szCs w:val="22"/>
          <w:highlight w:val="none"/>
        </w:rPr>
        <w:t>”开启后，由评标委员会对各投标人的</w:t>
      </w:r>
      <w:r>
        <w:rPr>
          <w:rFonts w:hint="eastAsia" w:ascii="宋体" w:hAnsi="宋体" w:cs="Arial"/>
          <w:b/>
          <w:bCs/>
          <w:color w:val="auto"/>
          <w:sz w:val="22"/>
          <w:szCs w:val="22"/>
          <w:highlight w:val="none"/>
          <w:lang w:val="en-US" w:eastAsia="zh-CN"/>
        </w:rPr>
        <w:t>投标</w:t>
      </w:r>
      <w:r>
        <w:rPr>
          <w:rFonts w:hint="eastAsia" w:ascii="宋体" w:hAnsi="宋体" w:cs="Arial"/>
          <w:b/>
          <w:bCs/>
          <w:color w:val="auto"/>
          <w:sz w:val="22"/>
          <w:szCs w:val="22"/>
          <w:highlight w:val="none"/>
        </w:rPr>
        <w:t>报价进行核查，核查时发现投标报价内容不清楚可要求投标人书面澄清，计算上的错误，按照下列规定修正：</w:t>
      </w:r>
    </w:p>
    <w:p w14:paraId="32072516">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6DEDEE2D">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611E1B03">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5659CB1C">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5AD87906">
      <w:pPr>
        <w:pageBreakBefore w:val="0"/>
        <w:kinsoku/>
        <w:wordWrap/>
        <w:topLinePunct w:val="0"/>
        <w:autoSpaceDE/>
        <w:autoSpaceDN/>
        <w:bidi w:val="0"/>
        <w:adjustRightInd/>
        <w:snapToGrid/>
        <w:spacing w:line="400" w:lineRule="exact"/>
        <w:ind w:firstLine="418" w:firstLineChars="190"/>
        <w:textAlignment w:val="auto"/>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783DA42C">
      <w:pPr>
        <w:pageBreakBefore w:val="0"/>
        <w:numPr>
          <w:ilvl w:val="1"/>
          <w:numId w:val="29"/>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39A81E22">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1EC9D769">
      <w:pPr>
        <w:pageBreakBefore w:val="0"/>
        <w:numPr>
          <w:ilvl w:val="1"/>
          <w:numId w:val="30"/>
        </w:numPr>
        <w:tabs>
          <w:tab w:val="clear" w:pos="992"/>
        </w:tabs>
        <w:kinsoku/>
        <w:wordWrap/>
        <w:topLinePunct w:val="0"/>
        <w:autoSpaceDE/>
        <w:autoSpaceDN/>
        <w:bidi w:val="0"/>
        <w:adjustRightInd/>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334676B">
      <w:pPr>
        <w:pageBreakBefore w:val="0"/>
        <w:numPr>
          <w:ilvl w:val="1"/>
          <w:numId w:val="30"/>
        </w:numPr>
        <w:tabs>
          <w:tab w:val="clear" w:pos="992"/>
        </w:tabs>
        <w:kinsoku/>
        <w:wordWrap/>
        <w:topLinePunct w:val="0"/>
        <w:autoSpaceDE/>
        <w:autoSpaceDN/>
        <w:bidi w:val="0"/>
        <w:adjustRightInd/>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77562118">
      <w:pPr>
        <w:pageBreakBefore w:val="0"/>
        <w:numPr>
          <w:ilvl w:val="1"/>
          <w:numId w:val="30"/>
        </w:numPr>
        <w:tabs>
          <w:tab w:val="clear" w:pos="992"/>
        </w:tabs>
        <w:kinsoku/>
        <w:wordWrap/>
        <w:topLinePunct w:val="0"/>
        <w:autoSpaceDE/>
        <w:autoSpaceDN/>
        <w:bidi w:val="0"/>
        <w:adjustRightInd/>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D9B0C72">
      <w:pPr>
        <w:pageBreakBefore w:val="0"/>
        <w:numPr>
          <w:ilvl w:val="1"/>
          <w:numId w:val="30"/>
        </w:numPr>
        <w:tabs>
          <w:tab w:val="clear" w:pos="992"/>
        </w:tabs>
        <w:kinsoku/>
        <w:wordWrap/>
        <w:topLinePunct w:val="0"/>
        <w:autoSpaceDE/>
        <w:autoSpaceDN/>
        <w:bidi w:val="0"/>
        <w:adjustRightInd/>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2B8AF395">
      <w:pPr>
        <w:pageBreakBefore w:val="0"/>
        <w:numPr>
          <w:ilvl w:val="1"/>
          <w:numId w:val="30"/>
        </w:numPr>
        <w:tabs>
          <w:tab w:val="clear" w:pos="992"/>
        </w:tabs>
        <w:kinsoku/>
        <w:wordWrap/>
        <w:topLinePunct w:val="0"/>
        <w:autoSpaceDE/>
        <w:autoSpaceDN/>
        <w:bidi w:val="0"/>
        <w:adjustRightInd/>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4BA502EC">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710C8AC5">
      <w:pPr>
        <w:pageBreakBefore w:val="0"/>
        <w:numPr>
          <w:ilvl w:val="1"/>
          <w:numId w:val="31"/>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774353A7">
      <w:pPr>
        <w:pageBreakBefore w:val="0"/>
        <w:numPr>
          <w:ilvl w:val="1"/>
          <w:numId w:val="31"/>
        </w:numPr>
        <w:tabs>
          <w:tab w:val="clear" w:pos="992"/>
        </w:tabs>
        <w:kinsoku/>
        <w:wordWrap/>
        <w:topLinePunct w:val="0"/>
        <w:autoSpaceDE/>
        <w:autoSpaceDN/>
        <w:bidi w:val="0"/>
        <w:adjustRightInd/>
        <w:snapToGrid/>
        <w:spacing w:line="400" w:lineRule="exact"/>
        <w:ind w:left="640"/>
        <w:textAlignment w:val="auto"/>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0F4A8765">
      <w:pPr>
        <w:pageBreakBefore w:val="0"/>
        <w:numPr>
          <w:ilvl w:val="1"/>
          <w:numId w:val="31"/>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6A3B61E7">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00C1AE4F">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799819DA">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4122A8F2">
      <w:pPr>
        <w:pageBreakBefore w:val="0"/>
        <w:kinsoku/>
        <w:wordWrap/>
        <w:topLinePunct w:val="0"/>
        <w:autoSpaceDE/>
        <w:autoSpaceDN/>
        <w:bidi w:val="0"/>
        <w:adjustRightInd/>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73B54B84">
      <w:pPr>
        <w:pageBreakBefore w:val="0"/>
        <w:numPr>
          <w:ilvl w:val="1"/>
          <w:numId w:val="31"/>
        </w:numPr>
        <w:tabs>
          <w:tab w:val="clear" w:pos="992"/>
        </w:tabs>
        <w:kinsoku/>
        <w:wordWrap/>
        <w:topLinePunct w:val="0"/>
        <w:autoSpaceDE/>
        <w:autoSpaceDN/>
        <w:bidi w:val="0"/>
        <w:adjustRightInd/>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052F0334">
      <w:pPr>
        <w:pageBreakBefore w:val="0"/>
        <w:numPr>
          <w:ilvl w:val="0"/>
          <w:numId w:val="25"/>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bCs w:val="0"/>
          <w:color w:val="auto"/>
          <w:sz w:val="22"/>
          <w:szCs w:val="22"/>
          <w:highlight w:val="none"/>
          <w:u w:val="single"/>
        </w:rPr>
        <w:t>▲本项目开标或评审期间有效投标人少于3家的，本次招标按流标处理，由招标人决定是否重新组织招标。</w:t>
      </w:r>
    </w:p>
    <w:p w14:paraId="0EE6FC62">
      <w:pPr>
        <w:pageBreakBefore w:val="0"/>
        <w:numPr>
          <w:ilvl w:val="0"/>
          <w:numId w:val="0"/>
        </w:numPr>
        <w:kinsoku/>
        <w:wordWrap/>
        <w:topLinePunct w:val="0"/>
        <w:autoSpaceDE/>
        <w:autoSpaceDN/>
        <w:bidi w:val="0"/>
        <w:adjustRightInd/>
        <w:snapToGrid/>
        <w:spacing w:line="400" w:lineRule="exact"/>
        <w:ind w:left="73" w:leftChars="0"/>
        <w:textAlignment w:val="auto"/>
        <w:rPr>
          <w:rFonts w:ascii="宋体" w:hAnsi="宋体" w:cs="Arial"/>
          <w:color w:val="auto"/>
          <w:sz w:val="22"/>
          <w:szCs w:val="22"/>
          <w:highlight w:val="none"/>
        </w:rPr>
      </w:pPr>
    </w:p>
    <w:p w14:paraId="1FEE477F">
      <w:pPr>
        <w:pStyle w:val="4"/>
        <w:pageBreakBefore w:val="0"/>
        <w:kinsoku/>
        <w:wordWrap/>
        <w:topLinePunct w:val="0"/>
        <w:autoSpaceDE/>
        <w:autoSpaceDN/>
        <w:bidi w:val="0"/>
        <w:adjustRightInd/>
        <w:snapToGrid/>
        <w:spacing w:line="400" w:lineRule="exact"/>
        <w:ind w:left="420"/>
        <w:jc w:val="center"/>
        <w:textAlignment w:val="auto"/>
        <w:rPr>
          <w:rFonts w:ascii="宋体" w:hAnsi="宋体"/>
          <w:color w:val="auto"/>
          <w:sz w:val="26"/>
          <w:szCs w:val="26"/>
          <w:highlight w:val="none"/>
        </w:rPr>
      </w:pPr>
      <w:bookmarkStart w:id="146" w:name="_Toc4694"/>
      <w:bookmarkStart w:id="147" w:name="_Toc34508136"/>
      <w:bookmarkStart w:id="148" w:name="_Toc34221901"/>
      <w:bookmarkStart w:id="149" w:name="_Toc306613654"/>
      <w:r>
        <w:rPr>
          <w:rFonts w:hint="eastAsia" w:ascii="宋体" w:hAnsi="宋体"/>
          <w:color w:val="auto"/>
          <w:sz w:val="26"/>
          <w:szCs w:val="26"/>
          <w:highlight w:val="none"/>
        </w:rPr>
        <w:t xml:space="preserve">八、 </w:t>
      </w:r>
      <w:bookmarkStart w:id="150" w:name="_Toc32607"/>
      <w:r>
        <w:rPr>
          <w:rFonts w:hint="eastAsia" w:ascii="宋体" w:hAnsi="宋体"/>
          <w:color w:val="auto"/>
          <w:sz w:val="26"/>
          <w:szCs w:val="26"/>
          <w:highlight w:val="none"/>
        </w:rPr>
        <w:t>授予合同</w:t>
      </w:r>
      <w:bookmarkEnd w:id="146"/>
      <w:bookmarkEnd w:id="147"/>
      <w:bookmarkEnd w:id="148"/>
      <w:bookmarkEnd w:id="149"/>
      <w:bookmarkEnd w:id="150"/>
    </w:p>
    <w:p w14:paraId="38D3793F">
      <w:pPr>
        <w:pageBreakBefore w:val="0"/>
        <w:numPr>
          <w:ilvl w:val="0"/>
          <w:numId w:val="32"/>
        </w:numPr>
        <w:kinsoku/>
        <w:wordWrap/>
        <w:topLinePunct w:val="0"/>
        <w:autoSpaceDE/>
        <w:autoSpaceDN/>
        <w:bidi w:val="0"/>
        <w:adjustRightInd/>
        <w:snapToGrid/>
        <w:spacing w:line="400" w:lineRule="exact"/>
        <w:textAlignment w:val="auto"/>
        <w:rPr>
          <w:rFonts w:ascii="宋体" w:hAnsi="宋体"/>
          <w:bCs/>
          <w:color w:val="auto"/>
          <w:sz w:val="22"/>
          <w:szCs w:val="22"/>
        </w:rPr>
      </w:pPr>
      <w:r>
        <w:rPr>
          <w:rFonts w:hint="eastAsia" w:ascii="宋体" w:hAnsi="宋体" w:cs="Arial"/>
          <w:bCs/>
          <w:color w:val="auto"/>
          <w:sz w:val="22"/>
          <w:szCs w:val="22"/>
        </w:rPr>
        <w:t xml:space="preserve"> 结果公示</w:t>
      </w:r>
    </w:p>
    <w:p w14:paraId="10DABBD3">
      <w:pPr>
        <w:pageBreakBefore w:val="0"/>
        <w:numPr>
          <w:ilvl w:val="1"/>
          <w:numId w:val="33"/>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bCs/>
          <w:color w:val="auto"/>
          <w:sz w:val="22"/>
          <w:szCs w:val="22"/>
        </w:rPr>
      </w:pPr>
      <w:r>
        <w:rPr>
          <w:rFonts w:hint="eastAsia" w:ascii="宋体" w:hAnsi="宋体" w:cs="hakuyoxingshu7000"/>
          <w:color w:val="auto"/>
          <w:kern w:val="0"/>
          <w:sz w:val="22"/>
          <w:szCs w:val="22"/>
        </w:rPr>
        <w:t>评标委员会推荐的中标候选人经招标人确认后在温州肯恩大学官网公示，各投标人对评标结果如有异议，可在规定时间内以书面形式向招标人进行署名投诉或提出质疑，但需对投诉或质疑内容的真实性承担法律责任。中标公告期限为1个工作日，公示期结束后，招标人将根据评标委员会提交的书面评标报告和评审结果最后确定中标人</w:t>
      </w:r>
      <w:r>
        <w:rPr>
          <w:rFonts w:hint="eastAsia" w:ascii="宋体" w:hAnsi="宋体"/>
          <w:bCs/>
          <w:color w:val="auto"/>
          <w:sz w:val="22"/>
          <w:szCs w:val="22"/>
        </w:rPr>
        <w:t>。</w:t>
      </w:r>
    </w:p>
    <w:p w14:paraId="7D08B94A">
      <w:pPr>
        <w:pageBreakBefore w:val="0"/>
        <w:numPr>
          <w:ilvl w:val="0"/>
          <w:numId w:val="32"/>
        </w:numPr>
        <w:kinsoku/>
        <w:wordWrap/>
        <w:topLinePunct w:val="0"/>
        <w:autoSpaceDE/>
        <w:autoSpaceDN/>
        <w:bidi w:val="0"/>
        <w:adjustRightInd/>
        <w:snapToGrid/>
        <w:spacing w:line="400" w:lineRule="exact"/>
        <w:textAlignment w:val="auto"/>
        <w:rPr>
          <w:rFonts w:ascii="宋体" w:hAnsi="宋体" w:cs="Arial"/>
          <w:bCs/>
          <w:color w:val="auto"/>
          <w:sz w:val="22"/>
          <w:szCs w:val="22"/>
        </w:rPr>
      </w:pPr>
      <w:r>
        <w:rPr>
          <w:rFonts w:hint="eastAsia" w:ascii="宋体" w:hAnsi="宋体" w:cs="Arial"/>
          <w:bCs/>
          <w:color w:val="auto"/>
          <w:sz w:val="22"/>
          <w:szCs w:val="22"/>
        </w:rPr>
        <w:t>中标通知书</w:t>
      </w:r>
    </w:p>
    <w:p w14:paraId="03F120AD">
      <w:pPr>
        <w:pageBreakBefore w:val="0"/>
        <w:numPr>
          <w:ilvl w:val="1"/>
          <w:numId w:val="34"/>
        </w:numPr>
        <w:tabs>
          <w:tab w:val="left" w:pos="540"/>
          <w:tab w:val="clear" w:pos="992"/>
        </w:tabs>
        <w:kinsoku/>
        <w:wordWrap/>
        <w:topLinePunct w:val="0"/>
        <w:autoSpaceDE/>
        <w:autoSpaceDN/>
        <w:bidi w:val="0"/>
        <w:adjustRightInd/>
        <w:snapToGrid/>
        <w:spacing w:line="400" w:lineRule="exact"/>
        <w:ind w:hanging="992"/>
        <w:textAlignment w:val="auto"/>
        <w:rPr>
          <w:rFonts w:ascii="宋体" w:hAnsi="宋体"/>
          <w:color w:val="auto"/>
          <w:sz w:val="22"/>
          <w:szCs w:val="22"/>
        </w:rPr>
      </w:pPr>
      <w:r>
        <w:rPr>
          <w:rFonts w:hint="eastAsia" w:ascii="宋体" w:hAnsi="宋体"/>
          <w:bCs/>
          <w:color w:val="auto"/>
          <w:sz w:val="22"/>
          <w:szCs w:val="22"/>
        </w:rPr>
        <w:t xml:space="preserve">中标人确定后，招标人将向中标人发出中标通知书。 </w:t>
      </w:r>
    </w:p>
    <w:p w14:paraId="7E32B5E1">
      <w:pPr>
        <w:pageBreakBefore w:val="0"/>
        <w:numPr>
          <w:ilvl w:val="1"/>
          <w:numId w:val="34"/>
        </w:numPr>
        <w:tabs>
          <w:tab w:val="left" w:pos="540"/>
          <w:tab w:val="clear" w:pos="992"/>
        </w:tabs>
        <w:kinsoku/>
        <w:wordWrap/>
        <w:topLinePunct w:val="0"/>
        <w:autoSpaceDE/>
        <w:autoSpaceDN/>
        <w:bidi w:val="0"/>
        <w:adjustRightInd/>
        <w:snapToGrid/>
        <w:spacing w:line="400" w:lineRule="exact"/>
        <w:ind w:hanging="992"/>
        <w:textAlignment w:val="auto"/>
        <w:rPr>
          <w:rFonts w:ascii="宋体" w:hAnsi="宋体"/>
          <w:color w:val="auto"/>
          <w:sz w:val="22"/>
          <w:szCs w:val="22"/>
        </w:rPr>
      </w:pPr>
      <w:r>
        <w:rPr>
          <w:rFonts w:hint="eastAsia" w:ascii="宋体" w:hAnsi="宋体"/>
          <w:color w:val="auto"/>
          <w:sz w:val="22"/>
          <w:szCs w:val="22"/>
        </w:rPr>
        <w:t>中标通知书是合同的一个组成部分,对招标人和中标人均具有同等法律效力。</w:t>
      </w:r>
    </w:p>
    <w:p w14:paraId="46E2D5CC">
      <w:pPr>
        <w:pageBreakBefore w:val="0"/>
        <w:numPr>
          <w:ilvl w:val="0"/>
          <w:numId w:val="32"/>
        </w:numPr>
        <w:kinsoku/>
        <w:wordWrap/>
        <w:topLinePunct w:val="0"/>
        <w:autoSpaceDE/>
        <w:autoSpaceDN/>
        <w:bidi w:val="0"/>
        <w:adjustRightInd/>
        <w:snapToGrid/>
        <w:spacing w:line="400" w:lineRule="exact"/>
        <w:textAlignment w:val="auto"/>
        <w:rPr>
          <w:rFonts w:ascii="宋体" w:hAnsi="宋体"/>
          <w:color w:val="auto"/>
          <w:sz w:val="22"/>
          <w:szCs w:val="22"/>
        </w:rPr>
      </w:pPr>
      <w:r>
        <w:rPr>
          <w:rFonts w:hint="eastAsia" w:ascii="宋体" w:hAnsi="宋体" w:cs="Arial"/>
          <w:bCs/>
          <w:color w:val="auto"/>
          <w:sz w:val="22"/>
          <w:szCs w:val="22"/>
        </w:rPr>
        <w:t>签订合同</w:t>
      </w:r>
    </w:p>
    <w:p w14:paraId="5A45CE50">
      <w:pPr>
        <w:pageBreakBefore w:val="0"/>
        <w:numPr>
          <w:ilvl w:val="1"/>
          <w:numId w:val="35"/>
        </w:numPr>
        <w:tabs>
          <w:tab w:val="clear" w:pos="992"/>
        </w:tabs>
        <w:kinsoku/>
        <w:wordWrap/>
        <w:topLinePunct w:val="0"/>
        <w:autoSpaceDE/>
        <w:autoSpaceDN/>
        <w:bidi w:val="0"/>
        <w:adjustRightInd/>
        <w:snapToGrid/>
        <w:spacing w:line="400" w:lineRule="exact"/>
        <w:ind w:left="540"/>
        <w:textAlignment w:val="auto"/>
        <w:rPr>
          <w:rFonts w:ascii="宋体" w:hAnsi="宋体"/>
          <w:b/>
          <w:color w:val="auto"/>
          <w:spacing w:val="6"/>
          <w:sz w:val="22"/>
          <w:szCs w:val="22"/>
        </w:rPr>
      </w:pPr>
      <w:r>
        <w:rPr>
          <w:rFonts w:hint="eastAsia" w:ascii="宋体" w:hAnsi="宋体"/>
          <w:color w:val="auto"/>
          <w:sz w:val="22"/>
          <w:szCs w:val="22"/>
        </w:rPr>
        <w:t xml:space="preserve"> 中标人应按中标通知书规定的时间、地点与招标人签订合同。</w:t>
      </w:r>
    </w:p>
    <w:p w14:paraId="60F4C633">
      <w:pPr>
        <w:pageBreakBefore w:val="0"/>
        <w:numPr>
          <w:ilvl w:val="1"/>
          <w:numId w:val="3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b/>
          <w:color w:val="auto"/>
          <w:spacing w:val="6"/>
          <w:sz w:val="22"/>
          <w:szCs w:val="22"/>
        </w:rPr>
        <w:t>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采购合同。</w:t>
      </w:r>
    </w:p>
    <w:p w14:paraId="12F56A7B">
      <w:pPr>
        <w:pageBreakBefore w:val="0"/>
        <w:numPr>
          <w:ilvl w:val="1"/>
          <w:numId w:val="3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color w:val="auto"/>
          <w:sz w:val="22"/>
          <w:szCs w:val="22"/>
        </w:rPr>
        <w:t>招标文件、中标人的投标文件、投标修改文件、评标过程中有关澄清文件及经投标人和评委双方签字的询标纪要和中标通知书均作为合同附件。</w:t>
      </w:r>
    </w:p>
    <w:p w14:paraId="3089EE84">
      <w:pPr>
        <w:pageBreakBefore w:val="0"/>
        <w:numPr>
          <w:ilvl w:val="1"/>
          <w:numId w:val="3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color w:val="auto"/>
          <w:sz w:val="22"/>
          <w:szCs w:val="22"/>
        </w:rPr>
      </w:pPr>
      <w:r>
        <w:rPr>
          <w:rFonts w:hint="eastAsia" w:ascii="宋体" w:hAnsi="宋体"/>
          <w:color w:val="auto"/>
          <w:sz w:val="22"/>
          <w:szCs w:val="22"/>
        </w:rPr>
        <w:t>拒签合同的违约责任</w:t>
      </w:r>
    </w:p>
    <w:p w14:paraId="55254BE7">
      <w:pPr>
        <w:pageBreakBefore w:val="0"/>
        <w:kinsoku/>
        <w:wordWrap/>
        <w:topLinePunct w:val="0"/>
        <w:autoSpaceDE/>
        <w:autoSpaceDN/>
        <w:bidi w:val="0"/>
        <w:adjustRightInd/>
        <w:snapToGrid/>
        <w:spacing w:line="400" w:lineRule="exact"/>
        <w:ind w:left="538" w:leftChars="256"/>
        <w:textAlignment w:val="auto"/>
        <w:rPr>
          <w:rFonts w:ascii="宋体" w:hAnsi="宋体"/>
          <w:b/>
          <w:bCs/>
          <w:color w:val="auto"/>
          <w:sz w:val="22"/>
          <w:szCs w:val="22"/>
        </w:rPr>
      </w:pPr>
      <w:r>
        <w:rPr>
          <w:rFonts w:hint="eastAsia" w:ascii="宋体" w:hAnsi="宋体"/>
          <w:b/>
          <w:bCs/>
          <w:color w:val="auto"/>
          <w:sz w:val="22"/>
          <w:szCs w:val="22"/>
        </w:rPr>
        <w:t>中标人接到中标通知书后，在规定时间内借故否认已经承诺的条件而拒签合同的，以违约处理。</w:t>
      </w:r>
    </w:p>
    <w:p w14:paraId="3B666068">
      <w:pPr>
        <w:pageBreakBefore w:val="0"/>
        <w:numPr>
          <w:ilvl w:val="1"/>
          <w:numId w:val="35"/>
        </w:numPr>
        <w:tabs>
          <w:tab w:val="left" w:pos="540"/>
          <w:tab w:val="clear" w:pos="992"/>
        </w:tabs>
        <w:kinsoku/>
        <w:wordWrap/>
        <w:topLinePunct w:val="0"/>
        <w:autoSpaceDE/>
        <w:autoSpaceDN/>
        <w:bidi w:val="0"/>
        <w:adjustRightInd/>
        <w:snapToGrid/>
        <w:spacing w:line="400" w:lineRule="exact"/>
        <w:ind w:left="540" w:hanging="540"/>
        <w:textAlignment w:val="auto"/>
        <w:rPr>
          <w:rFonts w:ascii="宋体" w:hAnsi="宋体"/>
          <w:b/>
          <w:color w:val="auto"/>
          <w:sz w:val="22"/>
          <w:szCs w:val="22"/>
          <w:u w:val="single"/>
        </w:rPr>
      </w:pPr>
      <w:r>
        <w:rPr>
          <w:rFonts w:hint="eastAsia" w:ascii="宋体" w:hAnsi="宋体" w:cs="新宋体"/>
          <w:color w:val="auto"/>
          <w:kern w:val="0"/>
          <w:sz w:val="22"/>
          <w:szCs w:val="22"/>
        </w:rPr>
        <w:t>▲</w:t>
      </w:r>
      <w:r>
        <w:rPr>
          <w:rFonts w:hint="eastAsia" w:ascii="宋体" w:hAnsi="宋体"/>
          <w:b/>
          <w:color w:val="auto"/>
          <w:sz w:val="22"/>
          <w:szCs w:val="22"/>
          <w:u w:val="single"/>
        </w:rPr>
        <w:t>中标投标人应在合同签订后五个工作日内提交一份合同文本扫描件报招标代理机构备案。</w:t>
      </w:r>
    </w:p>
    <w:p w14:paraId="48B2CDD7">
      <w:pPr>
        <w:pageBreakBefore w:val="0"/>
        <w:numPr>
          <w:ilvl w:val="0"/>
          <w:numId w:val="32"/>
        </w:numPr>
        <w:kinsoku/>
        <w:wordWrap/>
        <w:topLinePunct w:val="0"/>
        <w:autoSpaceDE/>
        <w:autoSpaceDN/>
        <w:bidi w:val="0"/>
        <w:adjustRightInd/>
        <w:snapToGrid/>
        <w:spacing w:line="400" w:lineRule="exact"/>
        <w:textAlignment w:val="auto"/>
        <w:rPr>
          <w:rFonts w:hint="eastAsia" w:ascii="宋体" w:hAnsi="宋体" w:eastAsia="宋体" w:cs="Arial"/>
          <w:bCs/>
          <w:color w:val="auto"/>
          <w:sz w:val="22"/>
          <w:szCs w:val="22"/>
        </w:rPr>
      </w:pPr>
      <w:r>
        <w:rPr>
          <w:rFonts w:hint="eastAsia" w:ascii="宋体" w:hAnsi="宋体" w:eastAsia="宋体" w:cs="Arial"/>
          <w:bCs/>
          <w:color w:val="auto"/>
          <w:sz w:val="22"/>
          <w:szCs w:val="22"/>
        </w:rPr>
        <w:t xml:space="preserve"> 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违法违规行为或其他原因取消中标（成交）资格，或自愿放弃中标（成交）资格的供应商，需承担代理费和专家评审费等费用。</w:t>
      </w:r>
    </w:p>
    <w:p w14:paraId="7DE8A24B">
      <w:pPr>
        <w:pStyle w:val="4"/>
        <w:pageBreakBefore w:val="0"/>
        <w:kinsoku/>
        <w:wordWrap/>
        <w:topLinePunct w:val="0"/>
        <w:autoSpaceDE/>
        <w:autoSpaceDN/>
        <w:bidi w:val="0"/>
        <w:adjustRightInd/>
        <w:snapToGrid/>
        <w:spacing w:line="400" w:lineRule="exact"/>
        <w:ind w:left="420"/>
        <w:jc w:val="center"/>
        <w:textAlignment w:val="auto"/>
        <w:rPr>
          <w:rFonts w:ascii="宋体" w:hAnsi="宋体"/>
          <w:color w:val="auto"/>
          <w:sz w:val="26"/>
          <w:szCs w:val="26"/>
          <w:highlight w:val="none"/>
        </w:rPr>
      </w:pPr>
      <w:bookmarkStart w:id="151" w:name="_Toc11317"/>
      <w:bookmarkStart w:id="152" w:name="_Toc25540"/>
      <w:r>
        <w:rPr>
          <w:rFonts w:hint="eastAsia" w:ascii="宋体" w:hAnsi="宋体"/>
          <w:color w:val="auto"/>
          <w:sz w:val="26"/>
          <w:szCs w:val="26"/>
          <w:highlight w:val="none"/>
        </w:rPr>
        <w:t>九、验收</w:t>
      </w:r>
      <w:bookmarkEnd w:id="151"/>
      <w:bookmarkEnd w:id="152"/>
    </w:p>
    <w:p w14:paraId="25459FBA">
      <w:pPr>
        <w:pageBreakBefore w:val="0"/>
        <w:numPr>
          <w:ilvl w:val="0"/>
          <w:numId w:val="36"/>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663843">
      <w:pPr>
        <w:pageBreakBefore w:val="0"/>
        <w:numPr>
          <w:ilvl w:val="0"/>
          <w:numId w:val="36"/>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采购人可以邀请参加本项目的其他供应商或者第三方机构参与验收。参与验收的供应商或者第三方机构的意见作为验收书的参考资料一并存档。</w:t>
      </w:r>
    </w:p>
    <w:p w14:paraId="541BE919">
      <w:pPr>
        <w:pageBreakBefore w:val="0"/>
        <w:numPr>
          <w:ilvl w:val="0"/>
          <w:numId w:val="36"/>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1EA9B92">
      <w:pPr>
        <w:pageBreakBefore w:val="0"/>
        <w:numPr>
          <w:ilvl w:val="0"/>
          <w:numId w:val="36"/>
        </w:numPr>
        <w:tabs>
          <w:tab w:val="clear" w:pos="420"/>
        </w:tabs>
        <w:kinsoku/>
        <w:wordWrap/>
        <w:topLinePunct w:val="0"/>
        <w:autoSpaceDE/>
        <w:autoSpaceDN/>
        <w:bidi w:val="0"/>
        <w:adjustRightInd/>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05838684">
      <w:pPr>
        <w:pageBreakBefore w:val="0"/>
        <w:numPr>
          <w:ilvl w:val="0"/>
          <w:numId w:val="36"/>
        </w:numPr>
        <w:tabs>
          <w:tab w:val="clear" w:pos="420"/>
        </w:tabs>
        <w:kinsoku/>
        <w:wordWrap/>
        <w:topLinePunct w:val="0"/>
        <w:autoSpaceDE/>
        <w:autoSpaceDN/>
        <w:bidi w:val="0"/>
        <w:adjustRightInd/>
        <w:snapToGrid/>
        <w:spacing w:line="400" w:lineRule="exact"/>
        <w:textAlignment w:val="auto"/>
        <w:rPr>
          <w:rFonts w:ascii="宋体" w:hAnsi="宋体" w:cs="Arial"/>
          <w:b/>
          <w:color w:val="auto"/>
          <w:sz w:val="22"/>
          <w:szCs w:val="22"/>
          <w:highlight w:val="none"/>
        </w:rPr>
      </w:pPr>
      <w:bookmarkStart w:id="153" w:name="_Hlt68073093"/>
      <w:bookmarkEnd w:id="153"/>
      <w:bookmarkStart w:id="154" w:name="_Hlt74714665"/>
      <w:bookmarkEnd w:id="154"/>
      <w:bookmarkStart w:id="155" w:name="_Hlt68403820"/>
      <w:bookmarkEnd w:id="155"/>
      <w:bookmarkStart w:id="156" w:name="_Hlt74729768"/>
      <w:bookmarkEnd w:id="156"/>
      <w:bookmarkStart w:id="157" w:name="_Hlt74730295"/>
      <w:bookmarkEnd w:id="157"/>
      <w:bookmarkStart w:id="158" w:name="_Hlt75236101"/>
      <w:bookmarkEnd w:id="158"/>
      <w:bookmarkStart w:id="159" w:name="_Hlt68072998"/>
      <w:bookmarkEnd w:id="159"/>
      <w:bookmarkStart w:id="160" w:name="_Hlt68072990"/>
      <w:bookmarkEnd w:id="160"/>
      <w:bookmarkStart w:id="161" w:name="_Hlt74707468"/>
      <w:bookmarkEnd w:id="161"/>
      <w:bookmarkStart w:id="162" w:name="_Hlt75236011"/>
      <w:bookmarkEnd w:id="162"/>
      <w:bookmarkStart w:id="163" w:name="_Hlt75236290"/>
      <w:bookmarkEnd w:id="163"/>
      <w:bookmarkStart w:id="164" w:name="_Hlt68057669"/>
      <w:bookmarkEnd w:id="164"/>
      <w:r>
        <w:rPr>
          <w:rFonts w:hint="eastAsia" w:ascii="宋体" w:hAnsi="宋体" w:cs="Arial"/>
          <w:b/>
          <w:color w:val="auto"/>
          <w:sz w:val="22"/>
          <w:szCs w:val="22"/>
          <w:highlight w:val="none"/>
        </w:rPr>
        <w:t>履约验收费用由供应商承担，因供应商原因造成验收不通过的，再次验收的费用仍由供应商承担。如采用简易验收的，则不需要支付该笔费用。</w:t>
      </w:r>
    </w:p>
    <w:p w14:paraId="47EDA43B">
      <w:pPr>
        <w:pStyle w:val="3"/>
        <w:rPr>
          <w:color w:val="auto"/>
          <w:highlight w:val="none"/>
        </w:rPr>
      </w:pPr>
    </w:p>
    <w:p w14:paraId="681D3728">
      <w:pPr>
        <w:pStyle w:val="3"/>
        <w:rPr>
          <w:color w:val="auto"/>
          <w:highlight w:val="none"/>
        </w:rPr>
      </w:pPr>
    </w:p>
    <w:p w14:paraId="1647A98C">
      <w:pPr>
        <w:pStyle w:val="75"/>
        <w:rPr>
          <w:rFonts w:ascii="宋体" w:hAnsi="宋体"/>
          <w:color w:val="auto"/>
          <w:sz w:val="22"/>
          <w:szCs w:val="22"/>
          <w:highlight w:val="none"/>
        </w:rPr>
      </w:pPr>
    </w:p>
    <w:p w14:paraId="6464E62A">
      <w:pPr>
        <w:widowControl/>
        <w:spacing w:before="60" w:after="60" w:line="400" w:lineRule="exact"/>
        <w:ind w:left="424" w:leftChars="202" w:right="60" w:firstLine="440" w:firstLineChars="200"/>
        <w:jc w:val="center"/>
        <w:rPr>
          <w:rFonts w:ascii="宋体" w:hAnsi="宋体"/>
          <w:color w:val="auto"/>
          <w:sz w:val="22"/>
          <w:szCs w:val="22"/>
          <w:highlight w:val="none"/>
        </w:rPr>
      </w:pPr>
    </w:p>
    <w:p w14:paraId="705E9749">
      <w:pPr>
        <w:widowControl/>
        <w:spacing w:before="60" w:after="60" w:line="400" w:lineRule="exact"/>
        <w:ind w:left="424" w:leftChars="202" w:right="60" w:firstLine="440" w:firstLineChars="200"/>
        <w:jc w:val="center"/>
        <w:rPr>
          <w:rStyle w:val="76"/>
          <w:rFonts w:ascii="宋体" w:hAnsi="宋体" w:eastAsia="宋体" w:cs="宋体"/>
          <w:color w:val="auto"/>
          <w:sz w:val="36"/>
          <w:szCs w:val="36"/>
          <w:highlight w:val="none"/>
        </w:rPr>
      </w:pPr>
      <w:r>
        <w:rPr>
          <w:rFonts w:hint="eastAsia" w:ascii="宋体" w:hAnsi="宋体"/>
          <w:color w:val="auto"/>
          <w:sz w:val="22"/>
          <w:szCs w:val="22"/>
          <w:highlight w:val="none"/>
        </w:rPr>
        <w:br w:type="page"/>
      </w:r>
      <w:bookmarkStart w:id="165" w:name="_Toc21905"/>
      <w:bookmarkStart w:id="166" w:name="_Toc221423622"/>
      <w:bookmarkStart w:id="167" w:name="_Toc221356890"/>
      <w:bookmarkStart w:id="168" w:name="_Toc246261268"/>
      <w:bookmarkStart w:id="169" w:name="_Toc245191317"/>
      <w:bookmarkStart w:id="170" w:name="_Toc249758867"/>
      <w:bookmarkStart w:id="171" w:name="_Toc221356954"/>
      <w:bookmarkStart w:id="172" w:name="_Toc262105506"/>
      <w:bookmarkStart w:id="173" w:name="_Toc221374629"/>
      <w:bookmarkStart w:id="174" w:name="_Toc239145357"/>
      <w:bookmarkStart w:id="175" w:name="_Toc249758715"/>
      <w:bookmarkStart w:id="176" w:name="_Toc222114882"/>
      <w:bookmarkStart w:id="177" w:name="_Toc262049421"/>
      <w:bookmarkStart w:id="178" w:name="_Toc245722284"/>
      <w:bookmarkStart w:id="179" w:name="_Toc223716001"/>
      <w:bookmarkStart w:id="180" w:name="_Toc241404205"/>
      <w:r>
        <w:rPr>
          <w:rStyle w:val="76"/>
          <w:rFonts w:hint="eastAsia" w:ascii="宋体" w:hAnsi="宋体" w:eastAsia="宋体" w:cs="宋体"/>
          <w:color w:val="auto"/>
          <w:sz w:val="36"/>
          <w:szCs w:val="36"/>
          <w:highlight w:val="none"/>
        </w:rPr>
        <w:t>第二部分   招标内容及要求</w:t>
      </w:r>
    </w:p>
    <w:bookmarkEnd w:id="165"/>
    <w:p w14:paraId="3090E9EF">
      <w:pPr>
        <w:widowControl/>
        <w:spacing w:line="440" w:lineRule="exact"/>
        <w:rPr>
          <w:rFonts w:ascii="宋体" w:hAnsi="宋体" w:cs="Arial"/>
          <w:b/>
          <w:bCs/>
          <w:color w:val="auto"/>
          <w:sz w:val="22"/>
          <w:szCs w:val="22"/>
          <w:highlight w:val="none"/>
        </w:rPr>
      </w:pPr>
      <w:r>
        <w:rPr>
          <w:rFonts w:hint="eastAsia" w:ascii="宋体" w:hAnsi="宋体" w:cs="Arial"/>
          <w:b/>
          <w:bCs/>
          <w:color w:val="auto"/>
          <w:sz w:val="22"/>
          <w:szCs w:val="22"/>
          <w:highlight w:val="none"/>
        </w:rPr>
        <w:t>一、概述</w:t>
      </w:r>
    </w:p>
    <w:p w14:paraId="79020A47">
      <w:pPr>
        <w:numPr>
          <w:ilvl w:val="2"/>
          <w:numId w:val="3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14:paraId="0E5E6A65">
      <w:pPr>
        <w:numPr>
          <w:ilvl w:val="2"/>
          <w:numId w:val="3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投标产品如与采购要求有细微偏差，业主将有权要求制造商调整偏差，并不改变投标价格。</w:t>
      </w:r>
    </w:p>
    <w:p w14:paraId="61DB72CF">
      <w:pPr>
        <w:numPr>
          <w:ilvl w:val="2"/>
          <w:numId w:val="3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投标人须对招标文件中的各个条款一一给予实质性答复，不能仅提供产品样本。</w:t>
      </w:r>
    </w:p>
    <w:p w14:paraId="7FC051A6">
      <w:pPr>
        <w:numPr>
          <w:ilvl w:val="2"/>
          <w:numId w:val="3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w:t>
      </w:r>
      <w:r>
        <w:rPr>
          <w:rFonts w:hint="eastAsia" w:ascii="宋体" w:hAnsi="宋体"/>
          <w:color w:val="auto"/>
          <w:sz w:val="22"/>
          <w:szCs w:val="22"/>
          <w:highlight w:val="none"/>
          <w:lang w:eastAsia="zh-CN"/>
        </w:rPr>
        <w:t>涉及的</w:t>
      </w:r>
      <w:r>
        <w:rPr>
          <w:rFonts w:hint="eastAsia" w:ascii="宋体" w:hAnsi="宋体"/>
          <w:color w:val="auto"/>
          <w:sz w:val="22"/>
          <w:szCs w:val="22"/>
          <w:highlight w:val="none"/>
        </w:rPr>
        <w:t>专利负责，并保证不伤害采购人的利益。在法律范围内，所有文字、商标和技术侵权造成的相关费用，招标人及采购人概不负责。</w:t>
      </w:r>
    </w:p>
    <w:p w14:paraId="1C4BB681">
      <w:pPr>
        <w:widowControl/>
        <w:spacing w:line="440" w:lineRule="exact"/>
        <w:rPr>
          <w:rFonts w:ascii="宋体" w:hAnsi="宋体" w:cs="Arial"/>
          <w:b/>
          <w:bCs/>
          <w:color w:val="auto"/>
          <w:sz w:val="22"/>
          <w:szCs w:val="22"/>
          <w:highlight w:val="none"/>
        </w:rPr>
      </w:pPr>
      <w:r>
        <w:rPr>
          <w:rFonts w:hint="eastAsia" w:ascii="宋体" w:hAnsi="宋体" w:cs="Arial"/>
          <w:b/>
          <w:bCs/>
          <w:color w:val="auto"/>
          <w:sz w:val="22"/>
          <w:szCs w:val="22"/>
          <w:highlight w:val="none"/>
        </w:rPr>
        <w:t>二、采购清单</w:t>
      </w:r>
    </w:p>
    <w:tbl>
      <w:tblPr>
        <w:tblStyle w:val="62"/>
        <w:tblW w:w="49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2809"/>
        <w:gridCol w:w="4077"/>
        <w:gridCol w:w="874"/>
        <w:gridCol w:w="1202"/>
      </w:tblGrid>
      <w:tr w14:paraId="1C53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BA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87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D1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F25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08A7">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4EF3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0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9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超短焦投影</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919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19小教室</w:t>
            </w:r>
            <w:r>
              <w:rPr>
                <w:rFonts w:hint="eastAsia" w:ascii="宋体" w:hAnsi="宋体" w:cs="宋体"/>
                <w:i w:val="0"/>
                <w:iCs w:val="0"/>
                <w:color w:val="000000"/>
                <w:kern w:val="0"/>
                <w:sz w:val="22"/>
                <w:szCs w:val="22"/>
                <w:u w:val="none"/>
                <w:lang w:val="en-US" w:eastAsia="zh-CN" w:bidi="ar"/>
              </w:rPr>
              <w:t>+1心理实验室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08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4C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r>
      <w:tr w14:paraId="25DF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1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4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长焦投影仪</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C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3计算机+1生物+D201两个</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D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r>
      <w:tr w14:paraId="1D4D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1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7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幕布</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E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3计算机（生物教室用106的幕布）</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8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80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条</w:t>
            </w:r>
          </w:p>
        </w:tc>
      </w:tr>
      <w:tr w14:paraId="20AD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8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0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超短焦反射投影仪壁挂架</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D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19小教室</w:t>
            </w:r>
            <w:r>
              <w:rPr>
                <w:rFonts w:hint="eastAsia" w:ascii="宋体" w:hAnsi="宋体" w:cs="宋体"/>
                <w:i w:val="0"/>
                <w:iCs w:val="0"/>
                <w:color w:val="000000"/>
                <w:kern w:val="0"/>
                <w:sz w:val="22"/>
                <w:szCs w:val="22"/>
                <w:u w:val="none"/>
                <w:lang w:val="en-US" w:eastAsia="zh-CN" w:bidi="ar"/>
              </w:rPr>
              <w:t>+1心理实验室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D8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45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5123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5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1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长焦投影工程吊架</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B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3计算机+1生物</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8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FF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6AF5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6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E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0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45小教室+3计算机+B401苹果机房+生物</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F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C1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50C8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0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8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B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45小教室+3计算机+B401苹果机房+生物</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5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5B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1CE4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7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7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刷卡器</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4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45小教室+3计算机+B401苹果机房+生物</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D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B3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6F13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4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6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E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45小教室+C301和C401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2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01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r>
      <w:tr w14:paraId="19DB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6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F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讲台桌1</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3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45小教室+3计算机+B401苹果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8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34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张</w:t>
            </w:r>
          </w:p>
        </w:tc>
      </w:tr>
      <w:tr w14:paraId="6E85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3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7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讲台桌2</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8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C401+C301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7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2C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张</w:t>
            </w:r>
          </w:p>
        </w:tc>
      </w:tr>
      <w:tr w14:paraId="04D8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E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7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有源音响</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4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45小教室+2计算机+B401苹果机房+生物</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D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17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对</w:t>
            </w:r>
          </w:p>
        </w:tc>
      </w:tr>
      <w:tr w14:paraId="63D8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8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C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鹅颈话筒</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5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3计算机+C401+C301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4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90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E21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3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0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48v鹅颈供电</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2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3计算机+C401+C301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D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8D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2456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4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0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接笔记本专用线缆</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0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45小教室+3计算机+B401苹果机房+生物+C301和C401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A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11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条</w:t>
            </w:r>
          </w:p>
        </w:tc>
      </w:tr>
      <w:tr w14:paraId="40B1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9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8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施工+线材+教室线缆整理</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E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45小教室+3计算机+B401苹果机房+生物+C301和C401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8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C3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r>
      <w:tr w14:paraId="4769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0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B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音频分配器</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7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7个录播教室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E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BD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6B91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9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9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有线鼠标键盘、鼠标垫</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2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45小教室+C301和C401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9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46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r>
      <w:tr w14:paraId="6B5A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F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B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 分配器</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7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7个录播教室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D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F5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r w14:paraId="11C8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A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F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教室吊顶石膏板</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676B">
            <w:pPr>
              <w:jc w:val="lef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6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29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块</w:t>
            </w:r>
          </w:p>
        </w:tc>
      </w:tr>
      <w:tr w14:paraId="726D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6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D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录播显示器</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9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7个录播教室</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6A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r>
    </w:tbl>
    <w:p w14:paraId="55A84DF3">
      <w:pPr>
        <w:spacing w:line="440" w:lineRule="exact"/>
        <w:jc w:val="left"/>
        <w:rPr>
          <w:rFonts w:ascii="宋体" w:hAnsi="宋体"/>
          <w:b/>
          <w:color w:val="auto"/>
          <w:sz w:val="22"/>
          <w:szCs w:val="22"/>
          <w:highlight w:val="none"/>
        </w:rPr>
      </w:pPr>
      <w:r>
        <w:rPr>
          <w:rFonts w:hint="eastAsia" w:ascii="宋体" w:hAnsi="宋体"/>
          <w:b/>
          <w:color w:val="auto"/>
          <w:sz w:val="22"/>
          <w:szCs w:val="22"/>
          <w:highlight w:val="none"/>
        </w:rPr>
        <w:t>三、  详细技术要求</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331"/>
        <w:gridCol w:w="8078"/>
      </w:tblGrid>
      <w:tr w14:paraId="2BF9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F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9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7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技术要求</w:t>
            </w:r>
          </w:p>
        </w:tc>
      </w:tr>
      <w:tr w14:paraId="2A46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C5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62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超短焦投影</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F1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b/>
                <w:bCs/>
                <w:i w:val="0"/>
                <w:iCs w:val="0"/>
                <w:color w:val="auto"/>
                <w:kern w:val="0"/>
                <w:sz w:val="22"/>
                <w:szCs w:val="22"/>
                <w:u w:val="single"/>
                <w:lang w:val="en-US" w:eastAsia="zh-CN" w:bidi="ar"/>
              </w:rPr>
              <w:t>显示技术：3LCD或者DLP投影技术，4K显示（3840*2160），DMD芯片0.47英寸或以上；</w:t>
            </w:r>
            <w:r>
              <w:rPr>
                <w:rFonts w:hint="eastAsia" w:ascii="宋体" w:hAnsi="宋体" w:eastAsia="宋体" w:cs="宋体"/>
                <w:b/>
                <w:bCs/>
                <w:i w:val="0"/>
                <w:iCs w:val="0"/>
                <w:color w:val="auto"/>
                <w:kern w:val="0"/>
                <w:sz w:val="22"/>
                <w:szCs w:val="22"/>
                <w:u w:val="singl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w:t>
            </w:r>
            <w:r>
              <w:rPr>
                <w:rFonts w:hint="eastAsia" w:ascii="宋体" w:hAnsi="宋体" w:eastAsia="宋体" w:cs="宋体"/>
                <w:b/>
                <w:bCs/>
                <w:i w:val="0"/>
                <w:iCs w:val="0"/>
                <w:color w:val="auto"/>
                <w:kern w:val="0"/>
                <w:sz w:val="22"/>
                <w:szCs w:val="22"/>
                <w:u w:val="single"/>
                <w:lang w:val="en-US" w:eastAsia="zh-CN" w:bidi="ar"/>
              </w:rPr>
              <w:t>▲亮度规格：光通量≥5000lm、激光光源，使用寿命≥2</w:t>
            </w:r>
            <w:r>
              <w:rPr>
                <w:rFonts w:hint="eastAsia" w:ascii="宋体" w:hAnsi="宋体" w:cs="宋体"/>
                <w:b/>
                <w:bCs/>
                <w:i w:val="0"/>
                <w:iCs w:val="0"/>
                <w:color w:val="auto"/>
                <w:kern w:val="0"/>
                <w:sz w:val="22"/>
                <w:szCs w:val="22"/>
                <w:u w:val="single"/>
                <w:lang w:val="en-US" w:eastAsia="zh-CN" w:bidi="ar"/>
              </w:rPr>
              <w:t>0</w:t>
            </w:r>
            <w:r>
              <w:rPr>
                <w:rFonts w:hint="eastAsia" w:ascii="宋体" w:hAnsi="宋体" w:eastAsia="宋体" w:cs="宋体"/>
                <w:b/>
                <w:bCs/>
                <w:i w:val="0"/>
                <w:iCs w:val="0"/>
                <w:color w:val="auto"/>
                <w:kern w:val="0"/>
                <w:sz w:val="22"/>
                <w:szCs w:val="22"/>
                <w:u w:val="single"/>
                <w:lang w:val="en-US" w:eastAsia="zh-CN" w:bidi="ar"/>
              </w:rPr>
              <w:t>000小时。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3．★超短焦反射式镜头，画面投射尺寸60-150英寸，投射比≤0.25， 支持120英寸以内画面4K文字解析，电动聚焦方式。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4．★图像画质：4K分辨率 3840*2160，对比度≥100000：1；色域≥116%（BT.709），具有MEMC（运动补偿功能）、支持HDR解码。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5．画面调整：几何校正功能、拍照自动校正。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 光机全封闭结构，增压防尘设计，整机无滤网； 散热系统采用超静音散热设计，工作噪音≤37db。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7．智能：商用极简UI（无广告运营）、支持无线传屏、自动几何校正，可自主定义开机画面（视频或图片）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8．★硬件配置：运行内存为3GB ，机身存储：32G，无线连接：2.4G/5GHZ WIFI，蓝牙：蓝牙5.0。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9．声音：支持杜比(DD+)、DTS双解码，2*15W内置音响。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10．主机接口：2路HDMI 2.0（1路支持ARC回传）、2路USB、1路RS232控制端口、1路RJ45网口，1路VGA输入，1路3.5mm音频输出接口。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11．★认证要求：3C认证、二级能效等级，整机保修3年,提供产品彩页和第三方权威机构检测报告以佐证</w:t>
            </w:r>
            <w:r>
              <w:rPr>
                <w:rFonts w:hint="eastAsia" w:ascii="宋体" w:hAnsi="宋体" w:cs="宋体"/>
                <w:i w:val="0"/>
                <w:iCs w:val="0"/>
                <w:color w:val="auto"/>
                <w:kern w:val="0"/>
                <w:sz w:val="22"/>
                <w:szCs w:val="22"/>
                <w:u w:val="none"/>
                <w:lang w:val="en-US" w:eastAsia="zh-CN" w:bidi="ar"/>
              </w:rPr>
              <w:t>。</w:t>
            </w:r>
          </w:p>
        </w:tc>
      </w:tr>
      <w:tr w14:paraId="55F6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DC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58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长焦投影仪</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9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b/>
                <w:bCs/>
                <w:i w:val="0"/>
                <w:iCs w:val="0"/>
                <w:color w:val="auto"/>
                <w:kern w:val="0"/>
                <w:sz w:val="22"/>
                <w:szCs w:val="22"/>
                <w:u w:val="single"/>
                <w:lang w:val="en-US" w:eastAsia="zh-CN" w:bidi="ar"/>
              </w:rPr>
              <w:t>▲采用3LCD投影显示技术，液晶板尺寸≥0.64英寸；标准亮度≥6200流明（ISO21118标准）,中心亮度≥6600流明；</w:t>
            </w:r>
            <w:r>
              <w:rPr>
                <w:rFonts w:hint="eastAsia" w:ascii="宋体" w:hAnsi="宋体" w:eastAsia="宋体" w:cs="宋体"/>
                <w:b/>
                <w:bCs/>
                <w:i w:val="0"/>
                <w:iCs w:val="0"/>
                <w:color w:val="auto"/>
                <w:kern w:val="0"/>
                <w:sz w:val="22"/>
                <w:szCs w:val="22"/>
                <w:u w:val="singl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w:t>
            </w:r>
            <w:r>
              <w:rPr>
                <w:rFonts w:hint="eastAsia" w:ascii="宋体" w:hAnsi="宋体" w:eastAsia="宋体" w:cs="宋体"/>
                <w:b/>
                <w:bCs/>
                <w:i w:val="0"/>
                <w:iCs w:val="0"/>
                <w:color w:val="auto"/>
                <w:kern w:val="0"/>
                <w:sz w:val="22"/>
                <w:szCs w:val="22"/>
                <w:u w:val="single"/>
                <w:lang w:val="en-US" w:eastAsia="zh-CN" w:bidi="ar"/>
              </w:rPr>
              <w:t>▲采用激光光源；标准分辨率≥1920*1200（WUXGA）；对比度≥3000000:1；照度均匀性≥85%，使用寿命≥2</w:t>
            </w:r>
            <w:r>
              <w:rPr>
                <w:rFonts w:hint="eastAsia" w:ascii="宋体" w:hAnsi="宋体" w:cs="宋体"/>
                <w:b/>
                <w:bCs/>
                <w:i w:val="0"/>
                <w:iCs w:val="0"/>
                <w:color w:val="auto"/>
                <w:kern w:val="0"/>
                <w:sz w:val="22"/>
                <w:szCs w:val="22"/>
                <w:u w:val="single"/>
                <w:lang w:val="en-US" w:eastAsia="zh-CN" w:bidi="ar"/>
              </w:rPr>
              <w:t>0</w:t>
            </w:r>
            <w:r>
              <w:rPr>
                <w:rFonts w:hint="eastAsia" w:ascii="宋体" w:hAnsi="宋体" w:eastAsia="宋体" w:cs="宋体"/>
                <w:b/>
                <w:bCs/>
                <w:i w:val="0"/>
                <w:iCs w:val="0"/>
                <w:color w:val="auto"/>
                <w:kern w:val="0"/>
                <w:sz w:val="22"/>
                <w:szCs w:val="22"/>
                <w:u w:val="single"/>
                <w:lang w:val="en-US" w:eastAsia="zh-CN" w:bidi="ar"/>
              </w:rPr>
              <w:t>000小时；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3、过滤网更换周期最长可达20000小时；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4、镜头变焦≥1.6倍（手动），可垂直/水平位移（垂直+44%， 水平±20%）；投射比1.09-1.77 :1；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5、至少满足以下接口：2路电脑输入(D-sub 15-pin)，2路HDMI输入；2路RJ45接口（其中1路支持HDBaseT）；1路RS232C接口；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6、支持4K信号输入；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7、具有垂直、水平梯形校正功能，四角校正功能；曲面校正功能；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8、★厂家提供视频显示设备监控软件，通过局域网最多控制2048台投影机；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9、自定义光源输出，可自主调节光源输出功率，调整范围50%-100%；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10、★遥控ID号设置功能；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11、★个性化开机LOGO设计，开机LOGO可更改为用户指定图案；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12、开机白板模式，更适合教学演示；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13、★以上参数需提供产品彩页和第三方权威机构检测报告以佐证；投标产品需提供3C认证证书，节能环保认证证书。</w:t>
            </w:r>
          </w:p>
        </w:tc>
      </w:tr>
      <w:tr w14:paraId="7F6B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1C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AF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幕布</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4A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1.弧型流线时尚钢琴烤漆外壳，材质：高清白玻纤，有阻燃认证，产品质量符合ISO认证GB/T 19001-2016国标要求。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2.电动机构：管状电容限位，大功率电机功率≥55W，有3C认证；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3.幕面解像力：≥125线对/mm，有效散射角≥160度，特有直边拉线无压印专利；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4.幕布尺寸：133寸，升降方式：电动；支持选配接中控232、485，加无线遥控，语音功能等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5.产品比例：16:10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6.甲醛含量：限值小于75mg/kg。 </w:t>
            </w:r>
          </w:p>
        </w:tc>
      </w:tr>
      <w:tr w14:paraId="14E6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78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91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超短焦反射投影仪壁挂架</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1B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材质:冷轧钢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调节高度:45-65cm吸顶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60-100cm伸缩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瓜距:适用57cm以内机型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适用机型:反射式投影仪</w:t>
            </w:r>
          </w:p>
        </w:tc>
      </w:tr>
      <w:tr w14:paraId="36A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91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B0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长焦投影工程吊架</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7D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吊架类型：工程吊架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承重：25公斤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规格类型：1米、1.5米、2米、3米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吊装方式：吊装正投、吊装背投、地投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内管规格：38mm直径，1.2mm厚度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外管规格：42mm直径，1.2mm厚度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处理工艺：酸洗、电泳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颜色：黑色、白色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特点：1、360°旋转结构设计，调节更加方便精准；2、管内走线，美观大方；3、吊架内外壁酸洗磷化、表面电泳处理，不易划伤、生锈；4、吊杆加密打孔，可自由调节长度</w:t>
            </w:r>
          </w:p>
        </w:tc>
      </w:tr>
      <w:tr w14:paraId="3AD9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D1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F0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DF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single"/>
                <w:lang w:val="en-US" w:eastAsia="zh-CN" w:bidi="ar"/>
              </w:rPr>
              <w:t>支持设备固件网络远程升级及设备参数网络远程修改，便于升级维护，</w:t>
            </w:r>
            <w:r>
              <w:rPr>
                <w:rFonts w:hint="eastAsia" w:ascii="宋体" w:hAnsi="宋体" w:cs="宋体"/>
                <w:b/>
                <w:bCs/>
                <w:i w:val="0"/>
                <w:iCs w:val="0"/>
                <w:color w:val="000000"/>
                <w:kern w:val="0"/>
                <w:sz w:val="22"/>
                <w:szCs w:val="22"/>
                <w:u w:val="single"/>
                <w:lang w:val="en-US" w:eastAsia="zh-CN" w:bidi="ar"/>
              </w:rPr>
              <w:t>无缝</w:t>
            </w:r>
            <w:r>
              <w:rPr>
                <w:rFonts w:hint="eastAsia" w:ascii="宋体" w:hAnsi="宋体" w:eastAsia="宋体" w:cs="宋体"/>
                <w:b/>
                <w:bCs/>
                <w:i w:val="0"/>
                <w:iCs w:val="0"/>
                <w:color w:val="000000"/>
                <w:kern w:val="0"/>
                <w:sz w:val="22"/>
                <w:szCs w:val="22"/>
                <w:u w:val="single"/>
                <w:lang w:val="en-US" w:eastAsia="zh-CN" w:bidi="ar"/>
              </w:rPr>
              <w:t>接入学校现目前在用的中控管理平台</w:t>
            </w:r>
            <w:r>
              <w:rPr>
                <w:rFonts w:hint="eastAsia" w:ascii="宋体" w:hAnsi="宋体" w:cs="宋体"/>
                <w:b/>
                <w:bCs/>
                <w:i w:val="0"/>
                <w:iCs w:val="0"/>
                <w:color w:val="000000"/>
                <w:kern w:val="0"/>
                <w:sz w:val="22"/>
                <w:szCs w:val="22"/>
                <w:u w:val="single"/>
                <w:lang w:val="en-US" w:eastAsia="zh-CN" w:bidi="ar"/>
              </w:rPr>
              <w:t>（现有为华璨中控管理平台）</w:t>
            </w:r>
            <w:r>
              <w:rPr>
                <w:rFonts w:hint="eastAsia" w:ascii="宋体" w:hAnsi="宋体" w:eastAsia="宋体" w:cs="宋体"/>
                <w:b/>
                <w:bCs/>
                <w:i w:val="0"/>
                <w:iCs w:val="0"/>
                <w:color w:val="000000"/>
                <w:kern w:val="0"/>
                <w:sz w:val="22"/>
                <w:szCs w:val="22"/>
                <w:u w:val="single"/>
                <w:lang w:val="en-US" w:eastAsia="zh-CN" w:bidi="ar"/>
              </w:rPr>
              <w:t>；</w:t>
            </w:r>
            <w:r>
              <w:rPr>
                <w:rFonts w:hint="eastAsia" w:ascii="宋体" w:hAnsi="宋体" w:cs="宋体"/>
                <w:b/>
                <w:bC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2、支持电脑开关机管理，即使电脑在软关机状态下，也支持自动联动开机；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中控命令可编程及智能联动控制功能，用户可自定义联动控制方式，包括联动的顺序和间隔时间，联动的功能包括但不限于开关投影，幕布升降，开关电脑，开关设备电源，信号切换，编程串口控制，开关灯光、窗帘、空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4、支持不低于4进2出HDMI视音频矩阵切换信号处理，支持异步显示输出；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★5、支持4路USB信号输入，2路USB输出，支持USB信号跟随切换功能，方便扩展触摸屏或其他USB设备接入；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6、支持跨网段控制管理，具有不低于6路10/100/1000M网络接口；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7、具有不低于2组I/O输出接口，支持电锁或其他设备控制功能；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8、具有不低于6组I/O输入接口，支持柜门状态监测、联动与报警等功能；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9、支持投影机及电动幕控制管理，可设置幕布联动控制时间，在幕布下降或上升到位时自动停电，防止因幕布限位开关失灵而造成幕布损坏；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10、支持投影用时检测，可检测所有支持串行检测的各品牌投影灯泡用时，统计用时与投影菜单显示完全一致；在一个管理平台上支持不同品牌不同型号的投影设备用时检测；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11、支持屏幕冻结功能，可以在使用过程中冻结当前画面；冻结后投影机显示内容不变，电脑可以做其它操作而不影响投影机显示；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★12、支持板书功能，在不关闭投影机状态下，可使投影机不显示任何画面，升起幕布，使用整个黑板，在需要投影机的情况下可以一键恢复正常使用状态，使板书教学和多媒体教学有机结合、灵活切换；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13、支持听课模式与监听模式选择功能，设备可自动识别，也可在平台端远程控制；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14、具有不低于2路可编程控制串口，可控制投影/大屏，支持扩展双屏控制；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15、具有投影机、电动幕、计算机、其他设备电源控制接口，联动控制延时可设置；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16、具有不低于1路可扩展开关控制接口，可用于黑板灯、信号屏蔽仪等设备控制；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17、支持物联网设备接入，支持数据采集与控制，实现统一管控及联动控制功能；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18、支持IC卡管理功能，支持刷卡/插卡管理模式，支持本地存储至少10000个用户白名单和10000条使用记录；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主机接口：投影机控制电源≥1；电动幕控制电源≥1；计算机控制电源≥1；设备控制电源≥1；黑板灯≥1；HDMI输入≥4；HDMI输出≥2；IO输入检测≥6；控制输出≥2；串行接口≥7；10/100/1000M网络接口≥6；RCA音频输入≥4；RCA音频输出≥2；MIC输入≥2；监听输入≥1；监听输出≥1；拾音器输入≥1；IO状态指示≥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20、产品通过3C认证，提供3C认证证书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21、配套中控的集控平台预留可实现对教室里的空调和灯光的开关、模式和温度调节、错误代码反馈、定时任务和课表联动等控制功能的开发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single"/>
                <w:lang w:val="en-US" w:eastAsia="zh-CN" w:bidi="ar"/>
              </w:rPr>
              <w:t>后期学校如有需求，乙方需配合做好功能开发，开发费用不高于3万元，并提供系统功能维护。</w:t>
            </w:r>
          </w:p>
        </w:tc>
      </w:tr>
      <w:tr w14:paraId="65AD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82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1B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FD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★1.屏幕尺寸≥8寸，电容式可编程液晶显示屏，支持零秒启动，上电即可正常使用；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2.界面风格、使用模式、控制功能等支持可编程，界面灵活方便，功能清晰简明；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3.支持单界面或多级界面跳转等多种触控及显示方式，最多支持200个界面转换；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4.支持倒计时提示功能，操作过程中带有时间等待的界面显示等待剩余时间；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5.内置RTC时钟，支持日期及时间显示，支持管理平台校时；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6.支持网络管理平台对屏幕进行亮度调节及屏幕保护等操作；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7.支持面板锁定，锁定界面可定制，可显示提示信息或操作说明等；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8.支持中英文转换，支持触控提示音；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9.支持按键按下触发及松开触发，并支持按下触发松开停止等应用。</w:t>
            </w:r>
          </w:p>
        </w:tc>
      </w:tr>
      <w:tr w14:paraId="5724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53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1F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刷卡器</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A1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1、支持Mifare1卡、CPU卡等标准的校园卡；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2、支持插卡或刷卡应用方式；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3、工作频率：13.56MHZ；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4、读写距离：0～8cm(距离与安装环境有关)；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5、设备具备1路串口；</w:t>
            </w:r>
          </w:p>
        </w:tc>
      </w:tr>
      <w:tr w14:paraId="3DBD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98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DA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显示器</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70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面板尺寸：≧23.8英寸；</w:t>
            </w:r>
          </w:p>
          <w:p w14:paraId="71675E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面板类型：IPS；</w:t>
            </w:r>
          </w:p>
          <w:p w14:paraId="725CC0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屏幕比例：16:9；</w:t>
            </w:r>
          </w:p>
          <w:p w14:paraId="03B12D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可视角度：178°；</w:t>
            </w:r>
          </w:p>
          <w:p w14:paraId="1EECEE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色深Bit：≧8bit；</w:t>
            </w:r>
          </w:p>
          <w:p w14:paraId="25DE67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kern w:val="0"/>
                <w:sz w:val="22"/>
                <w:szCs w:val="22"/>
                <w:highlight w:val="none"/>
                <w:u w:val="single"/>
                <w:lang w:val="en-US" w:eastAsia="zh-CN" w:bidi="ar"/>
              </w:rPr>
            </w:pPr>
            <w:r>
              <w:rPr>
                <w:rFonts w:hint="eastAsia" w:ascii="宋体" w:hAnsi="宋体" w:eastAsia="宋体" w:cs="宋体"/>
                <w:b/>
                <w:bCs/>
                <w:i w:val="0"/>
                <w:iCs w:val="0"/>
                <w:color w:val="auto"/>
                <w:kern w:val="0"/>
                <w:sz w:val="22"/>
                <w:szCs w:val="22"/>
                <w:highlight w:val="none"/>
                <w:u w:val="single"/>
                <w:lang w:val="en-US" w:eastAsia="zh-CN" w:bidi="ar"/>
              </w:rPr>
              <w:t>▲色域：≧100% DCI-P3；</w:t>
            </w:r>
          </w:p>
          <w:p w14:paraId="6033E0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屏幕分辨率：≧3840*2160；</w:t>
            </w:r>
          </w:p>
          <w:p w14:paraId="4B3973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响应时间：≧4ms；</w:t>
            </w:r>
          </w:p>
          <w:p w14:paraId="08F00B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亮度：400cd/㎡；</w:t>
            </w:r>
          </w:p>
          <w:p w14:paraId="771823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接口类型：HDMI DP Type-C；</w:t>
            </w:r>
          </w:p>
          <w:p w14:paraId="1A30D5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VESA壁挂：支持（100*100）</w:t>
            </w:r>
          </w:p>
        </w:tc>
      </w:tr>
      <w:tr w14:paraId="4D98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66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00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讲台桌1</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60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1、桌面板材：老师接触位置为木质桌面，采用E0级免漆板，环保耐磨，厚度 ≥ 25mm，颜色：白色；</w:t>
            </w:r>
          </w:p>
          <w:p w14:paraId="567B37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桌面围挡：桌板前部具备多层板弯曲而成的木色高围挡设计，表面喷漆。高度≥50mm，可防止桌面物品滚落。显示器安装位置左右两侧需具有高度≥20mm的金属材质设备安装平台，方便安装中控面板、接口盒等设备。（提供国家认可的第三方机构检测报告）</w:t>
            </w:r>
          </w:p>
          <w:p w14:paraId="5B1019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3、底部结构：具有高度≥25mm不同颜色全封闭支撑底座，为考虑结构稳定性，支撑底座宽度需大于桌体的本体尺寸。（提供国家认可的第三方机构检测报告）</w:t>
            </w:r>
          </w:p>
          <w:p w14:paraId="299346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4、桌板尺寸形状：约1200mm×740mm，尺寸可根据教室环境调整；桌面封边：2mmPVC直封边，封边条颜色可与面板颜色不同，整体色彩需协调。桌板台面离地高度：900mm左右。</w:t>
            </w:r>
          </w:p>
          <w:p w14:paraId="3860BB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5、讲桌机柜：独立12U机柜，门板上具有足够的散热孔。</w:t>
            </w:r>
          </w:p>
          <w:p w14:paraId="629254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6、电脑仓：桌板下方需具备一体化设计的电脑仓空间，可放置台式电脑主机。前门带锁，前面上部具有按压式开启小门，便于电脑主机电源按键的使用和USB口使用。</w:t>
            </w:r>
          </w:p>
          <w:p w14:paraId="725460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7、讲桌前挡板：讲台正面挡板可拆卸，方便机柜和机箱背部维护。</w:t>
            </w:r>
          </w:p>
          <w:p w14:paraId="343DC2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8、桌面外形：桌面四个圆角半径≥100mm。（提供国家认可的第三方机构检测报告）</w:t>
            </w:r>
          </w:p>
          <w:p w14:paraId="33917D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9、抽屉数量：1个。尺寸：668mm×246mm×50mm；抽屉可通过机械锁手动开关。抽屉内部有左右分隔。</w:t>
            </w:r>
          </w:p>
          <w:p w14:paraId="4BEF73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10、桌面接线盒：具备抽线区和接口区。抽线区有4个抽线孔。接口区需具备万能5孔220V电源插座 ≥1，RJ-45 网络接口 ≥1，USB-A 3.0 接口≥3，Type-C 3.0 接口≥ 1，HDMI输入接口≥1。</w:t>
            </w:r>
          </w:p>
          <w:p w14:paraId="59C89B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11、显示器支架：桌面需设计有一体化的显示器支架，可调节高度≥90mm，可倾斜-5°~90°，同时支架底座需具备键鼠收纳空间，用于存放键鼠设备。（提供国家认可的第三方机构检测报告）</w:t>
            </w:r>
          </w:p>
          <w:p w14:paraId="5A3467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12、第三方中控安装接入：讲桌预留第三方中控安装位置以及安装支架，支持第三方中控接入讲桌。安装支架具有与桌面15度的倾斜角度，便于中控观看操作；</w:t>
            </w:r>
          </w:p>
          <w:p w14:paraId="022564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13、提供厂家低VOCs家具认证证书</w:t>
            </w:r>
          </w:p>
          <w:p w14:paraId="0D2FAE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14、提供整机3C认证证书</w:t>
            </w:r>
          </w:p>
        </w:tc>
      </w:tr>
      <w:tr w14:paraId="2352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02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C2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讲台桌2</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88FF">
            <w:pPr>
              <w:keepNext w:val="0"/>
              <w:keepLines w:val="0"/>
              <w:pageBreakBefore w:val="0"/>
              <w:widowControl/>
              <w:numPr>
                <w:ilvl w:val="0"/>
                <w:numId w:val="38"/>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材质和工艺：采用钢木结合，柜体钢板厚度≥1.2mm，用高温、静电喷涂工艺；桌面采用≥20mm E0级三聚氰胺板，pvc封边；围挡采用≥20mm多层实木油漆喷涂，漆面饱满均匀牢固；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桌面尺寸及设计：桌面尺寸≥1.6M*0.75M。桌板前部和两侧设计有防物品掉落的围挡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授课姿势支持：支持站姿坐姿，坐姿时桌面下须有至少15cm深度腿部空间；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电动升降：一键电动升降，升降范围≥700～1050mm；柜体固定高度，不随桌面升降，升降时桌面具备防夹功能；桌面升降控制器集成液晶屏显示桌面高度，支持多种高度预设模式；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 断电自锁：带有自锁功能，断电后24小时后无下滑；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★显示器支架：提供显示器支架，支架固定在桌面，且屏幕俯仰角度30°至90°可调，显示器支架底座可整体前后抽拉，抽拉范围≥0~150mm；显示器左右可一定角度旋转；支持VESA100的多种尺寸显示器； </w:t>
            </w:r>
          </w:p>
          <w:p w14:paraId="7D739EA3">
            <w:pPr>
              <w:keepNext w:val="0"/>
              <w:keepLines w:val="0"/>
              <w:pageBreakBefore w:val="0"/>
              <w:widowControl/>
              <w:numPr>
                <w:ilvl w:val="0"/>
                <w:numId w:val="38"/>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设备空间：提供标准机架≥10U；前后均可开门，前柜门采用隐藏式铰链、钢化玻璃，方便观察设备内部状态，柜门左右采用不小于R50mm大圆弧角，防止碰撞。柜内有走线槽，升降活动线可两端固定；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主机位：提供独立主机位，可单独开门，采用隐藏式铰链，带有钢化玻璃独立观察窗，柜门左右采用不小于R50mm大圆弧角，防止碰撞；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 接口：桌面提供非嵌入式86型电源插座≥2个；引出USB、HDMI、Type-C等常用插头线缆，可抽拉，且可自动回收；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储物区：提供开放型储物分区，包括：设备柜与主机柜之间设置有一层高度可调置储物托盘，方便存放不同大小的教学工具和老师包袋等用品；水杯架；桌面设置≥2个可单独取出的教具存储盒；两侧自回弹置物挂钩等； （提供证明材料）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维护性：讲桌机柜前后门可单人徒手开关，无需调节讲桌高度均可开柜门；便于查看设备工作状态； 左右两侧各提供≥2个抠手位，方便挪动维护。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 安全性：全桌简洁稳定、无毛刺和锋利凸起等安全隐患；除桌面设备外，其他设备全封闭；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美观性：外形美观，结构合理，可定制学校LOGO，根据学校需求进行颜色搭配。</w:t>
            </w:r>
          </w:p>
        </w:tc>
      </w:tr>
      <w:tr w14:paraId="1013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47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D8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有源音响</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E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扩音音箱内置蓝牙接收模块能与蓝牙麦克风互相匹配，实现自动对频、班班通用。蓝牙采用4.0通信协议，数据采样率高，人声还原度高，适合教学；(手机蓝牙可以搜索到,可依据需求开放协议连接），1对扩音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2.必须使用蓝牙接收方式，使用频率：2402 - 2480 MHz。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3.调制方法： GFSK,BT = 0.5 Gaussian。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4.蓝牙自动扫瞄、配对、锁定。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5.输出功率：2*60W，两只音箱，蓝牙音箱输出音量高于100 db(含)。音量在距离音箱5米时高于70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6.频率响应：50 Hz ~18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7.灵敏度：-80dBm。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8.PC输入接口：双路立体声RCA插孔*1，有线麦克风输入插孔*1。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9.可选定压广播模块，兼容本地校园广播，实现自动优先播放；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10.调节形式：立体声高、底音独立调节，麦克风音量独立旋钮。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内置翻页器和激光笔接收端，通过USB接口与电脑连接实现激光教鞭的功能，无需另配适配器；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12.接收机可自动连接在服务范围内的话筒发射器，连接后的发射机离开服务范围后，接收机延迟一定时间后，可自动断开连接，进入新连接等待状态，等待下次的连接。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13.接收机可以与蓝牙教学麦克风发射器通用，建立有效连接后，其他有效范围内的话筒发射器将无法再与之连接，确保临近教室之间互不干扰。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14.蓝牙扩音设备需要国家强制性3C认证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15.要求兼容学校原来的蓝牙麦克风连接</w:t>
            </w:r>
          </w:p>
        </w:tc>
      </w:tr>
      <w:tr w14:paraId="19EB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3C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32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鹅颈话筒</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C5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1、换能方式：电容式；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2、频率响应：100-16000Hz;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3、输出阻抗：2KΩ;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4、指向性：超心型指向；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5、灵敏度：-40±2dB;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6、供电电源：DC3V/DC48V。</w:t>
            </w:r>
          </w:p>
        </w:tc>
      </w:tr>
      <w:tr w14:paraId="5375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8A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58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48v鹅颈供电</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C9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给鹅颈话筒提供48v供电；</w:t>
            </w:r>
          </w:p>
        </w:tc>
      </w:tr>
      <w:tr w14:paraId="2285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9F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1B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接笔记本专用线缆</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F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每个教室配置一条2米长各类型线缆：HDMI公对公4k 60HZ、TypeC转HDMI线4k 60HZ、3.5转莲花线、usb延长线。</w:t>
            </w:r>
          </w:p>
        </w:tc>
      </w:tr>
      <w:tr w14:paraId="4F29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EE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31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施工+线材+教室线缆整理</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A4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single"/>
                <w:lang w:val="en-US" w:eastAsia="zh-CN" w:bidi="ar"/>
              </w:rPr>
              <w:t>项目于2024年11月1日前完成</w:t>
            </w:r>
            <w:r>
              <w:rPr>
                <w:rFonts w:hint="eastAsia" w:ascii="宋体" w:hAnsi="宋体" w:cs="宋体"/>
                <w:b/>
                <w:bCs/>
                <w:i w:val="0"/>
                <w:iCs w:val="0"/>
                <w:color w:val="000000"/>
                <w:kern w:val="0"/>
                <w:sz w:val="22"/>
                <w:szCs w:val="22"/>
                <w:u w:val="single"/>
                <w:lang w:val="en-US" w:eastAsia="zh-CN" w:bidi="ar"/>
              </w:rPr>
              <w:t>供货、安装、调试等工作</w:t>
            </w:r>
            <w:r>
              <w:rPr>
                <w:rFonts w:hint="eastAsia" w:ascii="宋体" w:hAnsi="宋体" w:eastAsia="宋体" w:cs="宋体"/>
                <w:b/>
                <w:bCs/>
                <w:i w:val="0"/>
                <w:iCs w:val="0"/>
                <w:color w:val="000000"/>
                <w:kern w:val="0"/>
                <w:sz w:val="22"/>
                <w:szCs w:val="22"/>
                <w:u w:val="single"/>
                <w:lang w:val="en-US" w:eastAsia="zh-CN" w:bidi="ar"/>
              </w:rPr>
              <w:t>，项目</w:t>
            </w:r>
            <w:r>
              <w:rPr>
                <w:rFonts w:hint="eastAsia" w:ascii="宋体" w:hAnsi="宋体" w:cs="宋体"/>
                <w:b/>
                <w:bCs/>
                <w:i w:val="0"/>
                <w:iCs w:val="0"/>
                <w:color w:val="000000"/>
                <w:kern w:val="0"/>
                <w:sz w:val="22"/>
                <w:szCs w:val="22"/>
                <w:u w:val="single"/>
                <w:lang w:val="en-US" w:eastAsia="zh-CN" w:bidi="ar"/>
              </w:rPr>
              <w:t>实施</w:t>
            </w:r>
            <w:r>
              <w:rPr>
                <w:rFonts w:hint="eastAsia" w:ascii="宋体" w:hAnsi="宋体" w:eastAsia="宋体" w:cs="宋体"/>
                <w:b/>
                <w:bCs/>
                <w:i w:val="0"/>
                <w:iCs w:val="0"/>
                <w:color w:val="000000"/>
                <w:kern w:val="0"/>
                <w:sz w:val="22"/>
                <w:szCs w:val="22"/>
                <w:u w:val="single"/>
                <w:lang w:val="en-US" w:eastAsia="zh-CN" w:bidi="ar"/>
              </w:rPr>
              <w:t>时间是晚上、周末、节假日非教室上课时间。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2、包含</w:t>
            </w:r>
            <w:r>
              <w:rPr>
                <w:rFonts w:hint="eastAsia" w:ascii="宋体" w:hAnsi="宋体" w:cs="宋体"/>
                <w:i w:val="0"/>
                <w:iCs w:val="0"/>
                <w:color w:val="000000"/>
                <w:kern w:val="0"/>
                <w:sz w:val="22"/>
                <w:szCs w:val="22"/>
                <w:u w:val="none"/>
                <w:lang w:val="en-US" w:eastAsia="zh-CN" w:bidi="ar"/>
              </w:rPr>
              <w:t>实施</w:t>
            </w:r>
            <w:r>
              <w:rPr>
                <w:rFonts w:hint="eastAsia" w:ascii="宋体" w:hAnsi="宋体" w:eastAsia="宋体" w:cs="宋体"/>
                <w:i w:val="0"/>
                <w:iCs w:val="0"/>
                <w:color w:val="000000"/>
                <w:kern w:val="0"/>
                <w:sz w:val="22"/>
                <w:szCs w:val="22"/>
                <w:u w:val="none"/>
                <w:lang w:val="en-US" w:eastAsia="zh-CN" w:bidi="ar"/>
              </w:rPr>
              <w:t>所需的所有线缆，HDMI线、电源线、网线、音频线、控制线、水晶头等，要求HDMI线缆为光纤类型。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3、拆除教室原有旧设备，包括投影、音箱、中控、讲台桌、线缆、机柜等设备，并搬运到校内指定仓库。</w:t>
            </w:r>
          </w:p>
        </w:tc>
      </w:tr>
      <w:tr w14:paraId="2136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06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73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音频分配器</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FD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1进2出音频分配器</w:t>
            </w:r>
          </w:p>
        </w:tc>
      </w:tr>
      <w:tr w14:paraId="2F36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A1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32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有线鼠标键盘、鼠标垫</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85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有线鼠标和键盘、鼠标垫</w:t>
            </w:r>
          </w:p>
        </w:tc>
      </w:tr>
      <w:tr w14:paraId="3402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B8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FE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 分配器</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9D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1进2出HDMI分配器，2*4K 60Hz</w:t>
            </w:r>
          </w:p>
        </w:tc>
      </w:tr>
      <w:tr w14:paraId="74F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69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74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教室吊顶石膏板</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6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60*60吊顶石膏板，用于吸顶音箱拆除后更换和安装</w:t>
            </w:r>
          </w:p>
        </w:tc>
      </w:tr>
      <w:tr w14:paraId="6706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6D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43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录播显示器</w:t>
            </w:r>
          </w:p>
        </w:tc>
        <w:tc>
          <w:tcPr>
            <w:tcW w:w="4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2A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≥10.1寸1920*1080显示器，HDMI+VGA+USB；固定安装在讲台桌上；</w:t>
            </w:r>
          </w:p>
        </w:tc>
      </w:tr>
    </w:tbl>
    <w:p w14:paraId="180E050F">
      <w:pPr>
        <w:spacing w:line="440" w:lineRule="exact"/>
        <w:jc w:val="left"/>
        <w:rPr>
          <w:rFonts w:ascii="宋体" w:hAnsi="宋体"/>
          <w:b/>
          <w:color w:val="auto"/>
          <w:sz w:val="22"/>
          <w:szCs w:val="22"/>
          <w:highlight w:val="none"/>
        </w:rPr>
      </w:pPr>
      <w:r>
        <w:rPr>
          <w:rFonts w:hint="eastAsia" w:ascii="宋体" w:hAnsi="宋体"/>
          <w:b/>
          <w:color w:val="auto"/>
          <w:sz w:val="22"/>
          <w:szCs w:val="22"/>
          <w:highlight w:val="none"/>
        </w:rPr>
        <w:t>四、  其他要求</w:t>
      </w:r>
    </w:p>
    <w:p w14:paraId="397448EB">
      <w:pPr>
        <w:widowControl/>
        <w:numPr>
          <w:ilvl w:val="0"/>
          <w:numId w:val="39"/>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本次采购所有设备类产品要求全部部件均为原厂原装，投标人所报价的所有设备需有产地证明、装箱清单、技术说明书等。</w:t>
      </w:r>
    </w:p>
    <w:p w14:paraId="4188CFF0">
      <w:pPr>
        <w:widowControl/>
        <w:numPr>
          <w:ilvl w:val="0"/>
          <w:numId w:val="39"/>
        </w:numPr>
        <w:spacing w:line="420" w:lineRule="exact"/>
        <w:rPr>
          <w:rFonts w:ascii="宋体" w:hAnsi="宋体" w:cs="Arial"/>
          <w:color w:val="auto"/>
          <w:sz w:val="22"/>
          <w:szCs w:val="22"/>
          <w:highlight w:val="none"/>
        </w:rPr>
      </w:pPr>
      <w:r>
        <w:rPr>
          <w:rFonts w:hint="eastAsia" w:ascii="宋体" w:hAnsi="宋体" w:cs="Arial"/>
          <w:b/>
          <w:bCs/>
          <w:color w:val="auto"/>
          <w:sz w:val="22"/>
          <w:szCs w:val="22"/>
          <w:highlight w:val="none"/>
          <w:u w:val="single"/>
        </w:rPr>
        <w:t>本项目为交钥匙</w:t>
      </w:r>
      <w:r>
        <w:rPr>
          <w:rFonts w:hint="eastAsia" w:ascii="宋体" w:hAnsi="宋体" w:cs="Arial"/>
          <w:b/>
          <w:bCs/>
          <w:color w:val="auto"/>
          <w:sz w:val="22"/>
          <w:szCs w:val="22"/>
          <w:highlight w:val="none"/>
          <w:u w:val="single"/>
          <w:lang w:val="en-US" w:eastAsia="zh-CN"/>
        </w:rPr>
        <w:t>项目</w:t>
      </w:r>
      <w:r>
        <w:rPr>
          <w:rFonts w:hint="eastAsia" w:ascii="宋体" w:hAnsi="宋体" w:cs="Arial"/>
          <w:b/>
          <w:bCs/>
          <w:color w:val="auto"/>
          <w:sz w:val="22"/>
          <w:szCs w:val="22"/>
          <w:highlight w:val="none"/>
          <w:u w:val="single"/>
        </w:rPr>
        <w:t>，安装所需线缆，管线及其它安装材料、辅材均根据现场条件自行核算，必须按招标文件描述的功能要求进行深化设计并进行完善设备材料清单，保证整个系统的完整性，系统的正常运行，投标报价一次性包干，不作调整。中标投标人不得以任何理由增加该项报价。采购人清单中的货物如有遗漏必须的设备，请投标投标人自行配齐，中标后采购人将不予调整。</w:t>
      </w:r>
    </w:p>
    <w:p w14:paraId="2326B199">
      <w:pPr>
        <w:widowControl/>
        <w:numPr>
          <w:ilvl w:val="0"/>
          <w:numId w:val="39"/>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如采购内容及技术要求有所遗漏进而造成采购人不能正常使用，投标人须免费提供以上配置清单所需的所有配件并承担项目实施中产生的相关费用；</w:t>
      </w:r>
    </w:p>
    <w:p w14:paraId="26970D91">
      <w:pPr>
        <w:widowControl/>
        <w:numPr>
          <w:ilvl w:val="0"/>
          <w:numId w:val="39"/>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项目交货及完工进度保证</w:t>
      </w:r>
    </w:p>
    <w:p w14:paraId="6EDF1842">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投标人对设备的交货及完工周期必须满足采购人的要求：</w:t>
      </w:r>
      <w:r>
        <w:rPr>
          <w:rFonts w:hint="eastAsia" w:ascii="宋体" w:hAnsi="宋体"/>
          <w:b/>
          <w:color w:val="auto"/>
          <w:sz w:val="22"/>
          <w:szCs w:val="22"/>
          <w:highlight w:val="none"/>
        </w:rPr>
        <w:t>中标人需在合同签订后，</w:t>
      </w:r>
      <w:r>
        <w:rPr>
          <w:rFonts w:hint="eastAsia" w:ascii="宋体" w:hAnsi="宋体"/>
          <w:b/>
          <w:color w:val="auto"/>
          <w:sz w:val="22"/>
          <w:szCs w:val="22"/>
          <w:highlight w:val="none"/>
          <w:lang w:val="en-US" w:eastAsia="zh-CN"/>
        </w:rPr>
        <w:t>于</w:t>
      </w:r>
      <w:r>
        <w:rPr>
          <w:rFonts w:hint="eastAsia" w:ascii="宋体" w:hAnsi="宋体" w:eastAsia="宋体" w:cs="宋体"/>
          <w:b/>
          <w:bCs/>
          <w:i w:val="0"/>
          <w:iCs w:val="0"/>
          <w:color w:val="000000"/>
          <w:kern w:val="0"/>
          <w:sz w:val="22"/>
          <w:szCs w:val="22"/>
          <w:u w:val="single"/>
          <w:lang w:val="en-US" w:eastAsia="zh-CN" w:bidi="ar"/>
        </w:rPr>
        <w:t>2024年11月1日前完成</w:t>
      </w:r>
      <w:r>
        <w:rPr>
          <w:rFonts w:hint="eastAsia" w:ascii="宋体" w:hAnsi="宋体" w:cs="宋体"/>
          <w:b/>
          <w:bCs/>
          <w:i w:val="0"/>
          <w:iCs w:val="0"/>
          <w:color w:val="000000"/>
          <w:kern w:val="0"/>
          <w:sz w:val="22"/>
          <w:szCs w:val="22"/>
          <w:u w:val="single"/>
          <w:lang w:val="en-US" w:eastAsia="zh-CN" w:bidi="ar"/>
        </w:rPr>
        <w:t>供货、安装、调试等工作</w:t>
      </w:r>
      <w:r>
        <w:rPr>
          <w:rFonts w:hint="eastAsia" w:ascii="宋体" w:hAnsi="宋体"/>
          <w:b/>
          <w:color w:val="auto"/>
          <w:sz w:val="22"/>
          <w:szCs w:val="22"/>
          <w:highlight w:val="none"/>
        </w:rPr>
        <w:t>。</w:t>
      </w:r>
    </w:p>
    <w:p w14:paraId="70C324F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投标人须在投标文件技术标中针对本次采购制定详细的施工计划及供货安装计划，保证本次采购项目按时优质完成。</w:t>
      </w:r>
    </w:p>
    <w:p w14:paraId="75D52F75">
      <w:pPr>
        <w:widowControl/>
        <w:numPr>
          <w:ilvl w:val="0"/>
          <w:numId w:val="39"/>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提供资料要求</w:t>
      </w:r>
    </w:p>
    <w:p w14:paraId="1E9A003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根据上表，需原厂质保证明的产品，须在合同签订前提供针对该项目的原厂售后服务承诺函原件，且与投标产品必须一致。</w:t>
      </w:r>
    </w:p>
    <w:p w14:paraId="5BCEC1ED">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在中标并签定合同后，中标人应根据采购人的要求，免费向采购人提交详细的相关技术资料。</w:t>
      </w:r>
    </w:p>
    <w:p w14:paraId="632ECE9A">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在供货时，中标人须向采购人提供产品的检验标准和检测报告、合格证书等。</w:t>
      </w:r>
    </w:p>
    <w:p w14:paraId="0AFF0C17">
      <w:pPr>
        <w:widowControl/>
        <w:numPr>
          <w:ilvl w:val="0"/>
          <w:numId w:val="39"/>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产品的检验</w:t>
      </w:r>
    </w:p>
    <w:p w14:paraId="32623CA2">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中标人须按采购人的要求提供必要的技术数据和检验、试验报告。</w:t>
      </w:r>
    </w:p>
    <w:p w14:paraId="36FC96FA">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中标人应派员在产品到交货地时进行到货验收。若发现任何损坏及质量问题，中标人应负责更换，并妥善处理直至采购人满意，由此发生的一切费用由中标人负责承担。</w:t>
      </w:r>
    </w:p>
    <w:p w14:paraId="73D78C6D">
      <w:pPr>
        <w:widowControl/>
        <w:numPr>
          <w:ilvl w:val="0"/>
          <w:numId w:val="39"/>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质量保证</w:t>
      </w:r>
    </w:p>
    <w:p w14:paraId="3ED66040">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ascii="宋体" w:hAnsi="宋体" w:cs="Arial"/>
          <w:b/>
          <w:color w:val="auto"/>
          <w:sz w:val="22"/>
          <w:szCs w:val="22"/>
          <w:highlight w:val="none"/>
        </w:rPr>
        <w:t>）</w:t>
      </w:r>
      <w:r>
        <w:rPr>
          <w:rFonts w:hint="eastAsia" w:ascii="宋体" w:hAnsi="宋体" w:cs="Arial"/>
          <w:b/>
          <w:color w:val="auto"/>
          <w:sz w:val="22"/>
          <w:szCs w:val="22"/>
          <w:highlight w:val="none"/>
        </w:rPr>
        <w:t>本项目器材提供免费质保期为</w:t>
      </w:r>
      <w:r>
        <w:rPr>
          <w:rFonts w:hint="eastAsia" w:ascii="宋体" w:hAnsi="宋体" w:cs="Arial"/>
          <w:b/>
          <w:color w:val="auto"/>
          <w:sz w:val="22"/>
          <w:szCs w:val="22"/>
          <w:highlight w:val="none"/>
          <w:lang w:val="en-US" w:eastAsia="zh-CN"/>
        </w:rPr>
        <w:t>3</w:t>
      </w:r>
      <w:r>
        <w:rPr>
          <w:rFonts w:hint="eastAsia" w:ascii="宋体" w:hAnsi="宋体" w:cs="Arial"/>
          <w:b/>
          <w:color w:val="auto"/>
          <w:sz w:val="22"/>
          <w:szCs w:val="22"/>
          <w:highlight w:val="none"/>
        </w:rPr>
        <w:t>年（</w:t>
      </w:r>
      <w:r>
        <w:rPr>
          <w:rFonts w:hint="eastAsia" w:ascii="宋体" w:hAnsi="宋体" w:cs="Arial"/>
          <w:b/>
          <w:color w:val="auto"/>
          <w:sz w:val="22"/>
          <w:szCs w:val="22"/>
          <w:highlight w:val="none"/>
          <w:lang w:val="en-US" w:eastAsia="zh-CN"/>
        </w:rPr>
        <w:t>36</w:t>
      </w:r>
      <w:r>
        <w:rPr>
          <w:rFonts w:hint="eastAsia" w:ascii="宋体" w:hAnsi="宋体" w:cs="Arial"/>
          <w:b/>
          <w:color w:val="auto"/>
          <w:sz w:val="22"/>
          <w:szCs w:val="22"/>
          <w:highlight w:val="none"/>
        </w:rPr>
        <w:t>个月），终身维护；原厂商若有更高的保修期以原厂商提供为准，并在投标文件中明确承诺。</w:t>
      </w:r>
    </w:p>
    <w:p w14:paraId="7CE39D16">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提供24小时服务，而且维修人员需在接到维修电话后4小时内赶到现场，处理问题，提供不间断的服务直到结束。</w:t>
      </w:r>
    </w:p>
    <w:p w14:paraId="2412504C">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在质保期内的工作应包括对所有产品常规检查、调整等。供货方须自行付费负责修理和更换任何由于产品自身的质量问题造成的损坏及故障。</w:t>
      </w:r>
    </w:p>
    <w:p w14:paraId="738C8001">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免费质保期满后，须以低于市场价的价格长期提供维修及日常保养及维修零部件。</w:t>
      </w:r>
    </w:p>
    <w:p w14:paraId="6B065090">
      <w:pPr>
        <w:widowControl/>
        <w:spacing w:before="60" w:after="60" w:line="400" w:lineRule="exact"/>
        <w:ind w:left="424" w:leftChars="202" w:right="60" w:firstLine="720" w:firstLineChars="200"/>
        <w:jc w:val="center"/>
        <w:rPr>
          <w:rFonts w:ascii="宋体" w:hAnsi="宋体" w:cs="Arial"/>
          <w:color w:val="auto"/>
          <w:sz w:val="36"/>
          <w:szCs w:val="36"/>
          <w:highlight w:val="none"/>
        </w:rPr>
      </w:pP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44B2E138">
      <w:pPr>
        <w:rPr>
          <w:rFonts w:ascii="宋体" w:hAnsi="宋体"/>
          <w:color w:val="auto"/>
          <w:sz w:val="22"/>
          <w:szCs w:val="22"/>
          <w:highlight w:val="none"/>
        </w:rPr>
      </w:pPr>
      <w:bookmarkStart w:id="181" w:name="_Toc221356956"/>
      <w:bookmarkStart w:id="182" w:name="_Toc245191319"/>
      <w:bookmarkStart w:id="183" w:name="_Toc262049424"/>
      <w:bookmarkStart w:id="184" w:name="_Toc249758719"/>
      <w:bookmarkStart w:id="185" w:name="_Toc221374631"/>
      <w:bookmarkStart w:id="186" w:name="_Toc241404207"/>
      <w:bookmarkStart w:id="187" w:name="_Toc246261270"/>
      <w:bookmarkStart w:id="188" w:name="_Toc221423624"/>
      <w:bookmarkStart w:id="189" w:name="_Toc262105509"/>
      <w:bookmarkStart w:id="190" w:name="_Toc249758870"/>
      <w:bookmarkStart w:id="191" w:name="_Toc223716003"/>
      <w:bookmarkStart w:id="192" w:name="_Toc249758718"/>
      <w:bookmarkStart w:id="193" w:name="_Toc221356892"/>
      <w:bookmarkStart w:id="194" w:name="_Toc245722286"/>
      <w:bookmarkStart w:id="195" w:name="_Toc239145359"/>
      <w:bookmarkStart w:id="196" w:name="_Toc222114884"/>
      <w:r>
        <w:rPr>
          <w:rFonts w:hint="eastAsia" w:ascii="宋体" w:hAnsi="宋体"/>
          <w:color w:val="auto"/>
          <w:sz w:val="22"/>
          <w:szCs w:val="22"/>
          <w:highlight w:val="none"/>
        </w:rPr>
        <w:br w:type="page"/>
      </w:r>
    </w:p>
    <w:p w14:paraId="19F99DB8">
      <w:pPr>
        <w:pStyle w:val="3"/>
        <w:rPr>
          <w:rFonts w:ascii="宋体" w:hAnsi="宋体" w:eastAsia="宋体" w:cs="Arial"/>
          <w:color w:val="auto"/>
          <w:sz w:val="36"/>
          <w:szCs w:val="36"/>
          <w:highlight w:val="none"/>
        </w:rPr>
      </w:pPr>
      <w:bookmarkStart w:id="197" w:name="_Toc2947"/>
      <w:r>
        <w:rPr>
          <w:rFonts w:hint="eastAsia" w:ascii="宋体" w:hAnsi="宋体" w:eastAsia="宋体" w:cs="Arial"/>
          <w:color w:val="auto"/>
          <w:sz w:val="36"/>
          <w:szCs w:val="36"/>
          <w:highlight w:val="none"/>
        </w:rPr>
        <w:t xml:space="preserve">第三部分   </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eastAsia="宋体" w:cs="Arial"/>
          <w:color w:val="auto"/>
          <w:sz w:val="36"/>
          <w:szCs w:val="36"/>
          <w:highlight w:val="none"/>
        </w:rPr>
        <w:t>评标原则及方法</w:t>
      </w:r>
      <w:bookmarkEnd w:id="197"/>
    </w:p>
    <w:p w14:paraId="7830164E">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lang w:val="en-US" w:eastAsia="zh-CN"/>
        </w:rPr>
        <w:t>参照</w:t>
      </w:r>
      <w:r>
        <w:rPr>
          <w:rFonts w:hint="eastAsia" w:ascii="宋体" w:hAnsi="宋体"/>
          <w:b/>
          <w:color w:val="auto"/>
          <w:sz w:val="22"/>
          <w:szCs w:val="22"/>
          <w:highlight w:val="none"/>
        </w:rPr>
        <w:t>《中华人民共和国政府采购法》等相关法规特制定以下评标办法。</w:t>
      </w:r>
    </w:p>
    <w:p w14:paraId="5F09B82D">
      <w:pPr>
        <w:pStyle w:val="24"/>
        <w:keepNext w:val="0"/>
        <w:keepLines w:val="0"/>
        <w:pageBreakBefore w:val="0"/>
        <w:widowControl w:val="0"/>
        <w:kinsoku/>
        <w:wordWrap/>
        <w:overflowPunct/>
        <w:topLinePunct w:val="0"/>
        <w:autoSpaceDE/>
        <w:autoSpaceDN/>
        <w:bidi w:val="0"/>
        <w:adjustRightInd/>
        <w:spacing w:before="120" w:beforeLines="50" w:afterLines="50" w:line="360" w:lineRule="exact"/>
        <w:textAlignment w:val="auto"/>
        <w:rPr>
          <w:rFonts w:ascii="宋体" w:hAnsi="宋体" w:cs="Arial"/>
          <w:b/>
          <w:color w:val="auto"/>
          <w:highlight w:val="none"/>
        </w:rPr>
      </w:pPr>
      <w:bookmarkStart w:id="198" w:name="_Toc221356961"/>
      <w:bookmarkStart w:id="199" w:name="_Toc221356898"/>
      <w:r>
        <w:rPr>
          <w:rFonts w:hint="eastAsia" w:ascii="宋体" w:hAnsi="宋体" w:cs="Arial"/>
          <w:b/>
          <w:color w:val="auto"/>
          <w:highlight w:val="none"/>
        </w:rPr>
        <w:t>一. 总  则</w:t>
      </w:r>
      <w:bookmarkEnd w:id="198"/>
      <w:bookmarkEnd w:id="199"/>
    </w:p>
    <w:p w14:paraId="113FA825">
      <w:pPr>
        <w:keepNext w:val="0"/>
        <w:keepLines w:val="0"/>
        <w:pageBreakBefore w:val="0"/>
        <w:widowControl w:val="0"/>
        <w:kinsoku/>
        <w:wordWrap/>
        <w:overflowPunct/>
        <w:topLinePunct w:val="0"/>
        <w:autoSpaceDE/>
        <w:autoSpaceDN/>
        <w:bidi w:val="0"/>
        <w:adjustRightInd/>
        <w:spacing w:line="360" w:lineRule="exact"/>
        <w:ind w:left="439" w:leftChars="209"/>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CB652E5">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
          <w:color w:val="auto"/>
          <w:sz w:val="22"/>
          <w:highlight w:val="none"/>
        </w:rPr>
      </w:pPr>
      <w:r>
        <w:rPr>
          <w:rFonts w:hint="eastAsia" w:ascii="宋体" w:hAnsi="宋体" w:cs="Arial"/>
          <w:b/>
          <w:color w:val="auto"/>
          <w:sz w:val="22"/>
          <w:highlight w:val="none"/>
        </w:rPr>
        <w:t>二、评标组织</w:t>
      </w:r>
    </w:p>
    <w:p w14:paraId="11126A63">
      <w:pPr>
        <w:keepNext w:val="0"/>
        <w:keepLines w:val="0"/>
        <w:pageBreakBefore w:val="0"/>
        <w:widowControl w:val="0"/>
        <w:kinsoku/>
        <w:wordWrap/>
        <w:overflowPunct/>
        <w:topLinePunct w:val="0"/>
        <w:autoSpaceDE/>
        <w:autoSpaceDN/>
        <w:bidi w:val="0"/>
        <w:adjustRightInd/>
        <w:spacing w:line="360" w:lineRule="exact"/>
        <w:ind w:left="439" w:leftChars="209"/>
        <w:textAlignment w:val="auto"/>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757B6D95">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
          <w:color w:val="auto"/>
          <w:sz w:val="22"/>
          <w:highlight w:val="none"/>
        </w:rPr>
      </w:pPr>
      <w:r>
        <w:rPr>
          <w:rFonts w:hint="eastAsia" w:ascii="宋体" w:hAnsi="宋体" w:cs="Arial"/>
          <w:b/>
          <w:color w:val="auto"/>
          <w:sz w:val="22"/>
          <w:highlight w:val="none"/>
        </w:rPr>
        <w:t>三、评标办法</w:t>
      </w:r>
    </w:p>
    <w:p w14:paraId="6BADAEF2">
      <w:pPr>
        <w:keepNext w:val="0"/>
        <w:keepLines w:val="0"/>
        <w:pageBreakBefore w:val="0"/>
        <w:widowControl w:val="0"/>
        <w:kinsoku/>
        <w:wordWrap/>
        <w:overflowPunct/>
        <w:topLinePunct w:val="0"/>
        <w:autoSpaceDE/>
        <w:autoSpaceDN/>
        <w:bidi w:val="0"/>
        <w:adjustRightInd/>
        <w:spacing w:line="360" w:lineRule="exact"/>
        <w:ind w:left="439" w:leftChars="209"/>
        <w:textAlignment w:val="auto"/>
        <w:rPr>
          <w:rFonts w:ascii="宋体" w:hAnsi="宋体" w:cs="Arial"/>
          <w:b/>
          <w:color w:val="auto"/>
          <w:sz w:val="22"/>
          <w:highlight w:val="none"/>
        </w:rPr>
      </w:pPr>
      <w:r>
        <w:rPr>
          <w:rFonts w:hint="eastAsia" w:ascii="宋体" w:hAnsi="宋体" w:cs="Arial"/>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color w:val="auto"/>
          <w:sz w:val="22"/>
          <w:highlight w:val="none"/>
        </w:rPr>
        <w:t>总分设定为100分；其中商务技术文件70分，报价文件（报价）30分。</w:t>
      </w:r>
    </w:p>
    <w:p w14:paraId="3898655A">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
          <w:color w:val="auto"/>
          <w:sz w:val="22"/>
          <w:highlight w:val="none"/>
        </w:rPr>
      </w:pPr>
      <w:bookmarkStart w:id="200" w:name="_Toc221356965"/>
      <w:bookmarkStart w:id="201" w:name="_Toc221356902"/>
      <w:r>
        <w:rPr>
          <w:rFonts w:hint="eastAsia" w:ascii="宋体" w:hAnsi="宋体" w:cs="Arial"/>
          <w:b/>
          <w:color w:val="auto"/>
          <w:sz w:val="22"/>
          <w:highlight w:val="none"/>
        </w:rPr>
        <w:t>四、评分细则</w:t>
      </w:r>
      <w:bookmarkEnd w:id="200"/>
      <w:bookmarkEnd w:id="201"/>
    </w:p>
    <w:p w14:paraId="4C0AC0E5">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2"/>
          <w:highlight w:val="none"/>
        </w:rPr>
      </w:pPr>
      <w:bookmarkStart w:id="202" w:name="_Toc221356966"/>
      <w:bookmarkStart w:id="203" w:name="_Toc221356903"/>
      <w:r>
        <w:rPr>
          <w:rFonts w:hint="eastAsia" w:ascii="宋体" w:hAnsi="宋体" w:cs="Arial"/>
          <w:color w:val="auto"/>
          <w:sz w:val="22"/>
          <w:highlight w:val="none"/>
        </w:rPr>
        <w:t>1、商务技术分的评定（70分）</w:t>
      </w:r>
    </w:p>
    <w:p w14:paraId="26201A5A">
      <w:pPr>
        <w:keepNext w:val="0"/>
        <w:keepLines w:val="0"/>
        <w:pageBreakBefore w:val="0"/>
        <w:widowControl w:val="0"/>
        <w:kinsoku/>
        <w:wordWrap/>
        <w:overflowPunct/>
        <w:topLinePunct w:val="0"/>
        <w:autoSpaceDE/>
        <w:autoSpaceDN/>
        <w:bidi w:val="0"/>
        <w:adjustRightInd/>
        <w:spacing w:line="360" w:lineRule="exact"/>
        <w:ind w:left="439" w:leftChars="209"/>
        <w:textAlignment w:val="auto"/>
        <w:rPr>
          <w:rFonts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958"/>
        <w:gridCol w:w="1224"/>
        <w:gridCol w:w="538"/>
        <w:gridCol w:w="6783"/>
      </w:tblGrid>
      <w:tr w14:paraId="484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8" w:type="pct"/>
            <w:noWrap/>
            <w:vAlign w:val="center"/>
          </w:tcPr>
          <w:p w14:paraId="7B10B78D">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107" w:type="pct"/>
            <w:gridSpan w:val="2"/>
            <w:noWrap/>
            <w:vAlign w:val="center"/>
          </w:tcPr>
          <w:p w14:paraId="3A15D911">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272" w:type="pct"/>
            <w:noWrap/>
            <w:vAlign w:val="center"/>
          </w:tcPr>
          <w:p w14:paraId="7C45C98E">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3441" w:type="pct"/>
            <w:noWrap/>
            <w:vAlign w:val="center"/>
          </w:tcPr>
          <w:p w14:paraId="6F5BE99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评分要点</w:t>
            </w:r>
          </w:p>
        </w:tc>
      </w:tr>
      <w:tr w14:paraId="4C6C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8" w:type="pct"/>
            <w:noWrap/>
            <w:vAlign w:val="center"/>
          </w:tcPr>
          <w:p w14:paraId="38E580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1</w:t>
            </w:r>
          </w:p>
        </w:tc>
        <w:tc>
          <w:tcPr>
            <w:tcW w:w="1107" w:type="pct"/>
            <w:gridSpan w:val="2"/>
            <w:noWrap/>
            <w:vAlign w:val="center"/>
          </w:tcPr>
          <w:p w14:paraId="08F103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质量体系认证</w:t>
            </w:r>
          </w:p>
        </w:tc>
        <w:tc>
          <w:tcPr>
            <w:tcW w:w="272" w:type="pct"/>
            <w:noWrap/>
            <w:vAlign w:val="center"/>
          </w:tcPr>
          <w:p w14:paraId="3A449F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3</w:t>
            </w:r>
          </w:p>
        </w:tc>
        <w:tc>
          <w:tcPr>
            <w:tcW w:w="3441" w:type="pct"/>
            <w:noWrap/>
            <w:vAlign w:val="center"/>
          </w:tcPr>
          <w:p w14:paraId="3E6A585A">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投标人或投标产品生产厂家具有有效的 ISO质量管理体系、ISO环境管理体系、OHSAS/GB职业健康安全管理体系认证证书，每项得1分，最高得3分。</w:t>
            </w:r>
            <w:r>
              <w:rPr>
                <w:rFonts w:ascii="宋体" w:hAnsi="宋体" w:cs="宋体"/>
                <w:color w:val="auto"/>
                <w:sz w:val="22"/>
                <w:szCs w:val="22"/>
                <w:highlight w:val="none"/>
              </w:rPr>
              <w:t xml:space="preserve"> </w:t>
            </w:r>
          </w:p>
        </w:tc>
      </w:tr>
      <w:tr w14:paraId="0E2B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8" w:type="pct"/>
            <w:noWrap/>
            <w:vAlign w:val="center"/>
          </w:tcPr>
          <w:p w14:paraId="04A7C5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w:t>
            </w:r>
          </w:p>
        </w:tc>
        <w:tc>
          <w:tcPr>
            <w:tcW w:w="1107" w:type="pct"/>
            <w:gridSpan w:val="2"/>
            <w:noWrap/>
            <w:vAlign w:val="center"/>
          </w:tcPr>
          <w:p w14:paraId="237506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投标人经营业绩</w:t>
            </w:r>
          </w:p>
        </w:tc>
        <w:tc>
          <w:tcPr>
            <w:tcW w:w="272" w:type="pct"/>
            <w:noWrap/>
            <w:vAlign w:val="center"/>
          </w:tcPr>
          <w:p w14:paraId="606895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3</w:t>
            </w:r>
          </w:p>
        </w:tc>
        <w:tc>
          <w:tcPr>
            <w:tcW w:w="3441" w:type="pct"/>
            <w:noWrap/>
            <w:vAlign w:val="center"/>
          </w:tcPr>
          <w:p w14:paraId="4193BE0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提供投标人2021年至今完成的</w:t>
            </w:r>
            <w:r>
              <w:rPr>
                <w:rFonts w:hint="eastAsia" w:ascii="宋体" w:hAnsi="宋体" w:cs="宋体"/>
                <w:color w:val="auto"/>
                <w:sz w:val="22"/>
                <w:szCs w:val="22"/>
                <w:highlight w:val="none"/>
                <w:lang w:val="en-US" w:eastAsia="zh-CN"/>
              </w:rPr>
              <w:t>同类设备供货</w:t>
            </w:r>
            <w:r>
              <w:rPr>
                <w:rFonts w:hint="eastAsia" w:ascii="宋体" w:hAnsi="宋体" w:cs="宋体"/>
                <w:color w:val="auto"/>
                <w:sz w:val="22"/>
                <w:szCs w:val="22"/>
                <w:highlight w:val="none"/>
              </w:rPr>
              <w:t>项目业绩，每份得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分，最高得3分。</w:t>
            </w:r>
          </w:p>
        </w:tc>
      </w:tr>
      <w:tr w14:paraId="132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8" w:type="pct"/>
            <w:vMerge w:val="restart"/>
            <w:noWrap/>
            <w:vAlign w:val="center"/>
          </w:tcPr>
          <w:p w14:paraId="6F5F86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486" w:type="pct"/>
            <w:vMerge w:val="restart"/>
            <w:noWrap/>
            <w:vAlign w:val="center"/>
          </w:tcPr>
          <w:p w14:paraId="1D176387">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产品参数及认证</w:t>
            </w:r>
          </w:p>
        </w:tc>
        <w:tc>
          <w:tcPr>
            <w:tcW w:w="621" w:type="pct"/>
            <w:vAlign w:val="center"/>
          </w:tcPr>
          <w:p w14:paraId="64F31567">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重点参数响应情况</w:t>
            </w:r>
          </w:p>
        </w:tc>
        <w:tc>
          <w:tcPr>
            <w:tcW w:w="272" w:type="pct"/>
            <w:noWrap/>
            <w:vAlign w:val="center"/>
          </w:tcPr>
          <w:p w14:paraId="6048DD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3441" w:type="pct"/>
            <w:noWrap/>
            <w:vAlign w:val="center"/>
          </w:tcPr>
          <w:p w14:paraId="220F7F6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所投产品的重点技术指标符合情况进行评议，完全符合招标文件技术指标要求的得满分2</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分，重点参数每负偏离一条扣2分,扣完为止。（标记“★”参数为核心产品重点参数）</w:t>
            </w:r>
          </w:p>
        </w:tc>
      </w:tr>
      <w:tr w14:paraId="51B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8" w:type="pct"/>
            <w:vMerge w:val="continue"/>
            <w:noWrap/>
            <w:vAlign w:val="center"/>
          </w:tcPr>
          <w:p w14:paraId="4C8D8503">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p>
        </w:tc>
        <w:tc>
          <w:tcPr>
            <w:tcW w:w="486" w:type="pct"/>
            <w:vMerge w:val="continue"/>
            <w:noWrap/>
            <w:vAlign w:val="center"/>
          </w:tcPr>
          <w:p w14:paraId="2E668CBB">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p>
        </w:tc>
        <w:tc>
          <w:tcPr>
            <w:tcW w:w="621" w:type="pct"/>
            <w:vAlign w:val="center"/>
          </w:tcPr>
          <w:p w14:paraId="301B9C1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综合参数响应情况</w:t>
            </w:r>
          </w:p>
        </w:tc>
        <w:tc>
          <w:tcPr>
            <w:tcW w:w="272" w:type="pct"/>
            <w:noWrap/>
            <w:vAlign w:val="center"/>
          </w:tcPr>
          <w:p w14:paraId="17C38C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3</w:t>
            </w:r>
          </w:p>
        </w:tc>
        <w:tc>
          <w:tcPr>
            <w:tcW w:w="3441" w:type="pct"/>
            <w:noWrap/>
            <w:vAlign w:val="center"/>
          </w:tcPr>
          <w:p w14:paraId="26E6C196">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所投产品的综合技术指标符合情况进行评议，材质、产品特点、质量水平等完全符合招标文件技术指标要求的得满分1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分，每负偏离一条扣1分,扣完为止。</w:t>
            </w:r>
          </w:p>
        </w:tc>
      </w:tr>
      <w:tr w14:paraId="5769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8" w:type="pct"/>
            <w:noWrap/>
            <w:vAlign w:val="center"/>
          </w:tcPr>
          <w:p w14:paraId="21E594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1107" w:type="pct"/>
            <w:gridSpan w:val="2"/>
            <w:noWrap/>
            <w:vAlign w:val="center"/>
          </w:tcPr>
          <w:p w14:paraId="0AC1D0EE">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供货保证措施及安装调试验收方案</w:t>
            </w:r>
          </w:p>
        </w:tc>
        <w:tc>
          <w:tcPr>
            <w:tcW w:w="272" w:type="pct"/>
            <w:noWrap/>
            <w:vAlign w:val="center"/>
          </w:tcPr>
          <w:p w14:paraId="697746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3441" w:type="pct"/>
            <w:noWrap/>
            <w:vAlign w:val="center"/>
          </w:tcPr>
          <w:p w14:paraId="2E294EA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投标人供货保证措施及安装调试验收方案是否完整、合理、可行，评标委员会综合量化评分。A档：</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1分</w:t>
            </w:r>
            <w:r>
              <w:rPr>
                <w:rFonts w:hint="eastAsia" w:ascii="宋体" w:hAnsi="宋体" w:cs="宋体"/>
                <w:color w:val="auto"/>
                <w:sz w:val="22"/>
                <w:szCs w:val="22"/>
                <w:highlight w:val="none"/>
              </w:rPr>
              <w:t>。未提供本项的不得分。</w:t>
            </w:r>
          </w:p>
        </w:tc>
      </w:tr>
      <w:tr w14:paraId="70ED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8" w:type="pct"/>
            <w:noWrap/>
            <w:vAlign w:val="center"/>
          </w:tcPr>
          <w:p w14:paraId="48ABEA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1107" w:type="pct"/>
            <w:gridSpan w:val="2"/>
            <w:noWrap/>
            <w:vAlign w:val="center"/>
          </w:tcPr>
          <w:p w14:paraId="5A36D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售后服务</w:t>
            </w:r>
            <w:r>
              <w:rPr>
                <w:rFonts w:hint="eastAsia" w:ascii="宋体" w:hAnsi="宋体" w:cs="宋体"/>
                <w:color w:val="auto"/>
                <w:sz w:val="22"/>
                <w:szCs w:val="22"/>
                <w:highlight w:val="none"/>
                <w:lang w:val="en-US" w:eastAsia="zh-CN"/>
              </w:rPr>
              <w:t>方案</w:t>
            </w:r>
          </w:p>
        </w:tc>
        <w:tc>
          <w:tcPr>
            <w:tcW w:w="272" w:type="pct"/>
            <w:noWrap/>
            <w:vAlign w:val="center"/>
          </w:tcPr>
          <w:p w14:paraId="53D171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3441" w:type="pct"/>
            <w:noWrap/>
            <w:vAlign w:val="center"/>
          </w:tcPr>
          <w:p w14:paraId="59F532C0">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根据承诺的最近售后服务网点，售后服务响应时间，质保期、维修项目、技术培训、质保期内外的服务、响应及排除故障时间、备品备件、其它服务等承诺，评标委员会量化评分。A档：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分。未提供本项的不得分。</w:t>
            </w:r>
          </w:p>
        </w:tc>
      </w:tr>
      <w:tr w14:paraId="2466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8" w:type="pct"/>
            <w:noWrap/>
            <w:vAlign w:val="center"/>
          </w:tcPr>
          <w:p w14:paraId="125AFC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1107" w:type="pct"/>
            <w:gridSpan w:val="2"/>
            <w:noWrap/>
            <w:vAlign w:val="center"/>
          </w:tcPr>
          <w:p w14:paraId="3BF2F808">
            <w:pPr>
              <w:widowControl/>
              <w:spacing w:line="276" w:lineRule="auto"/>
              <w:jc w:val="center"/>
              <w:rPr>
                <w:rFonts w:ascii="宋体" w:hAnsi="宋体" w:cs="宋体"/>
                <w:color w:val="auto"/>
                <w:sz w:val="22"/>
                <w:szCs w:val="22"/>
                <w:highlight w:val="none"/>
              </w:rPr>
            </w:pPr>
            <w:r>
              <w:rPr>
                <w:rFonts w:hint="eastAsia" w:ascii="宋体" w:hAnsi="宋体" w:cs="仿宋"/>
                <w:bCs/>
                <w:color w:val="auto"/>
                <w:sz w:val="22"/>
                <w:szCs w:val="22"/>
                <w:highlight w:val="none"/>
              </w:rPr>
              <w:t>项目服务团队</w:t>
            </w:r>
          </w:p>
        </w:tc>
        <w:tc>
          <w:tcPr>
            <w:tcW w:w="272" w:type="pct"/>
            <w:noWrap/>
            <w:vAlign w:val="center"/>
          </w:tcPr>
          <w:p w14:paraId="4F11D609">
            <w:pPr>
              <w:widowControl/>
              <w:spacing w:line="276"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3441" w:type="pct"/>
            <w:noWrap/>
            <w:vAlign w:val="center"/>
          </w:tcPr>
          <w:p w14:paraId="796D5953">
            <w:pPr>
              <w:widowControl/>
              <w:spacing w:line="276" w:lineRule="auto"/>
              <w:jc w:val="left"/>
              <w:rPr>
                <w:rFonts w:ascii="宋体" w:hAnsi="宋体" w:cs="仿宋"/>
                <w:color w:val="auto"/>
                <w:sz w:val="22"/>
                <w:szCs w:val="22"/>
                <w:highlight w:val="none"/>
              </w:rPr>
            </w:pPr>
            <w:r>
              <w:rPr>
                <w:rFonts w:hint="eastAsia" w:ascii="宋体" w:hAnsi="宋体" w:cs="仿宋"/>
                <w:color w:val="auto"/>
                <w:sz w:val="22"/>
                <w:szCs w:val="22"/>
                <w:highlight w:val="none"/>
              </w:rPr>
              <w:t>根据投标人针对本项目所投入的项目实施人员的配比、人员资质情况以及项目经验等,</w:t>
            </w:r>
            <w:r>
              <w:rPr>
                <w:rFonts w:hint="eastAsia" w:ascii="宋体" w:hAnsi="宋体" w:cs="宋体"/>
                <w:color w:val="auto"/>
                <w:sz w:val="22"/>
                <w:szCs w:val="22"/>
                <w:highlight w:val="none"/>
              </w:rPr>
              <w:t>评标委员会综合量化评分。A档：</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1分</w:t>
            </w:r>
            <w:r>
              <w:rPr>
                <w:rFonts w:hint="eastAsia" w:ascii="宋体" w:hAnsi="宋体" w:cs="宋体"/>
                <w:color w:val="auto"/>
                <w:sz w:val="22"/>
                <w:szCs w:val="22"/>
                <w:highlight w:val="none"/>
              </w:rPr>
              <w:t>。未提供本项的不得分。</w:t>
            </w:r>
          </w:p>
          <w:p w14:paraId="18FF5603">
            <w:pPr>
              <w:widowControl/>
              <w:spacing w:line="276" w:lineRule="auto"/>
              <w:jc w:val="left"/>
              <w:rPr>
                <w:rFonts w:ascii="宋体" w:hAnsi="宋体" w:cs="宋体"/>
                <w:color w:val="auto"/>
                <w:sz w:val="22"/>
                <w:szCs w:val="22"/>
                <w:highlight w:val="none"/>
              </w:rPr>
            </w:pPr>
            <w:r>
              <w:rPr>
                <w:rFonts w:hint="eastAsia" w:ascii="宋体" w:hAnsi="宋体" w:cs="仿宋"/>
                <w:color w:val="auto"/>
                <w:sz w:val="22"/>
                <w:szCs w:val="22"/>
                <w:highlight w:val="none"/>
              </w:rPr>
              <w:t>注：所有持证人员必须为投标单位员工，须提供相关证书、社保证明（近</w:t>
            </w:r>
            <w:r>
              <w:rPr>
                <w:rFonts w:hint="eastAsia" w:ascii="宋体" w:hAnsi="宋体" w:cs="仿宋"/>
                <w:color w:val="auto"/>
                <w:sz w:val="22"/>
                <w:szCs w:val="22"/>
                <w:highlight w:val="none"/>
                <w:lang w:val="en-US" w:eastAsia="zh-CN"/>
              </w:rPr>
              <w:t>3</w:t>
            </w:r>
            <w:r>
              <w:rPr>
                <w:rFonts w:hint="eastAsia" w:ascii="宋体" w:hAnsi="宋体" w:cs="仿宋"/>
                <w:color w:val="auto"/>
                <w:sz w:val="22"/>
                <w:szCs w:val="22"/>
                <w:highlight w:val="none"/>
              </w:rPr>
              <w:t>个月</w:t>
            </w:r>
            <w:r>
              <w:rPr>
                <w:rFonts w:hint="eastAsia" w:ascii="宋体" w:hAnsi="宋体" w:cs="仿宋"/>
                <w:color w:val="auto"/>
                <w:sz w:val="22"/>
                <w:szCs w:val="22"/>
                <w:highlight w:val="none"/>
                <w:lang w:val="en-US" w:eastAsia="zh-CN"/>
              </w:rPr>
              <w:t>内任1月</w:t>
            </w:r>
            <w:r>
              <w:rPr>
                <w:rFonts w:hint="eastAsia" w:ascii="宋体" w:hAnsi="宋体" w:cs="仿宋"/>
                <w:color w:val="auto"/>
                <w:sz w:val="22"/>
                <w:szCs w:val="22"/>
                <w:highlight w:val="none"/>
              </w:rPr>
              <w:t>在投标单位的参保证明），扫描件并加盖公章，未提供上述资料的不得分。</w:t>
            </w:r>
          </w:p>
        </w:tc>
      </w:tr>
      <w:tr w14:paraId="5A76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8" w:type="pct"/>
            <w:noWrap/>
            <w:vAlign w:val="center"/>
          </w:tcPr>
          <w:p w14:paraId="3AC97F7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107" w:type="pct"/>
            <w:gridSpan w:val="2"/>
            <w:noWrap/>
            <w:vAlign w:val="center"/>
          </w:tcPr>
          <w:p w14:paraId="5814A1C8">
            <w:pPr>
              <w:widowControl/>
              <w:spacing w:line="276" w:lineRule="auto"/>
              <w:jc w:val="center"/>
              <w:rPr>
                <w:rFonts w:ascii="宋体" w:hAnsi="宋体" w:eastAsia="宋体" w:cs="仿宋"/>
                <w:color w:val="auto"/>
                <w:kern w:val="2"/>
                <w:sz w:val="22"/>
                <w:szCs w:val="22"/>
                <w:highlight w:val="none"/>
                <w:lang w:val="en-US" w:eastAsia="zh-CN" w:bidi="ar-SA"/>
              </w:rPr>
            </w:pPr>
            <w:r>
              <w:rPr>
                <w:rFonts w:hint="eastAsia" w:ascii="宋体" w:hAnsi="宋体" w:cs="仿宋"/>
                <w:bCs/>
                <w:color w:val="auto"/>
                <w:sz w:val="22"/>
                <w:szCs w:val="22"/>
                <w:highlight w:val="none"/>
              </w:rPr>
              <w:t>培训方案</w:t>
            </w:r>
          </w:p>
        </w:tc>
        <w:tc>
          <w:tcPr>
            <w:tcW w:w="272" w:type="pct"/>
            <w:noWrap/>
            <w:vAlign w:val="center"/>
          </w:tcPr>
          <w:p w14:paraId="13772B8B">
            <w:pPr>
              <w:widowControl/>
              <w:spacing w:line="276" w:lineRule="auto"/>
              <w:jc w:val="center"/>
              <w:rPr>
                <w:rFonts w:hint="eastAsia" w:ascii="宋体" w:hAnsi="宋体" w:eastAsia="宋体" w:cs="仿宋"/>
                <w:bCs/>
                <w:color w:val="auto"/>
                <w:kern w:val="2"/>
                <w:sz w:val="22"/>
                <w:szCs w:val="22"/>
                <w:highlight w:val="none"/>
                <w:lang w:val="en-US" w:eastAsia="zh-CN" w:bidi="ar-SA"/>
              </w:rPr>
            </w:pPr>
            <w:r>
              <w:rPr>
                <w:rFonts w:hint="eastAsia" w:ascii="宋体" w:hAnsi="宋体" w:cs="仿宋"/>
                <w:bCs/>
                <w:color w:val="auto"/>
                <w:sz w:val="22"/>
                <w:szCs w:val="22"/>
                <w:highlight w:val="none"/>
                <w:lang w:val="en-US" w:eastAsia="zh-CN"/>
              </w:rPr>
              <w:t>5</w:t>
            </w:r>
          </w:p>
        </w:tc>
        <w:tc>
          <w:tcPr>
            <w:tcW w:w="3441" w:type="pct"/>
            <w:noWrap/>
            <w:vAlign w:val="center"/>
          </w:tcPr>
          <w:p w14:paraId="0529557F">
            <w:pPr>
              <w:spacing w:line="276" w:lineRule="auto"/>
              <w:rPr>
                <w:rFonts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根据投标人针对本项目建立相应的培训方案，并按承诺计划实施，</w:t>
            </w:r>
            <w:r>
              <w:rPr>
                <w:rFonts w:hint="eastAsia" w:ascii="宋体" w:hAnsi="宋体" w:cs="宋体"/>
                <w:color w:val="auto"/>
                <w:sz w:val="22"/>
                <w:szCs w:val="22"/>
                <w:highlight w:val="none"/>
              </w:rPr>
              <w:t>评标委员会综合量化评分。A档：</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1分</w:t>
            </w:r>
            <w:r>
              <w:rPr>
                <w:rFonts w:hint="eastAsia" w:ascii="宋体" w:hAnsi="宋体" w:cs="宋体"/>
                <w:color w:val="auto"/>
                <w:sz w:val="22"/>
                <w:szCs w:val="22"/>
                <w:highlight w:val="none"/>
              </w:rPr>
              <w:t>。未提供本项的不得分。</w:t>
            </w:r>
          </w:p>
        </w:tc>
      </w:tr>
      <w:tr w14:paraId="54C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8" w:type="pct"/>
            <w:noWrap/>
            <w:vAlign w:val="center"/>
          </w:tcPr>
          <w:p w14:paraId="1D2A681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107" w:type="pct"/>
            <w:gridSpan w:val="2"/>
            <w:noWrap/>
            <w:vAlign w:val="center"/>
          </w:tcPr>
          <w:p w14:paraId="233718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节能环保</w:t>
            </w:r>
          </w:p>
        </w:tc>
        <w:tc>
          <w:tcPr>
            <w:tcW w:w="272" w:type="pct"/>
            <w:noWrap/>
            <w:vAlign w:val="center"/>
          </w:tcPr>
          <w:p w14:paraId="2BC733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2</w:t>
            </w:r>
          </w:p>
        </w:tc>
        <w:tc>
          <w:tcPr>
            <w:tcW w:w="3441" w:type="pct"/>
            <w:noWrap/>
            <w:vAlign w:val="center"/>
          </w:tcPr>
          <w:p w14:paraId="27E2E39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所投产品属于政府采购品目清单范围且提供国家确定的认证机构出具的处于有效期之内的节能产品认证证书或“投标产品在‘中国政府采购网’上节能产品查询截图的，每项产品得0.5分，最高得1分（投标产品属于节能产品政府采购品目清单中强制采购的除外）；</w:t>
            </w:r>
          </w:p>
          <w:p w14:paraId="2230C7F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2.所投产品属于政府采购品目清单范围且提供国家确定的认证机构出具的处于有效期之内的环境标志产品认证证书或“投标产品在‘中国政府采购网’上环境标志产品查询截图的，每项产品得0.5分，最高得1分。</w:t>
            </w:r>
          </w:p>
        </w:tc>
      </w:tr>
    </w:tbl>
    <w:p w14:paraId="78A070E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新宋体" w:hAnsi="新宋体" w:eastAsia="新宋体"/>
          <w:color w:val="auto"/>
          <w:sz w:val="22"/>
          <w:szCs w:val="22"/>
          <w:highlight w:val="none"/>
        </w:rPr>
        <w:t>以上评分标准中，A档一般以该分项方案/措施的表述详尽、科学、操作性强、可信度</w:t>
      </w:r>
      <w:r>
        <w:rPr>
          <w:rFonts w:hint="eastAsia" w:ascii="新宋体" w:hAnsi="新宋体" w:eastAsia="新宋体"/>
          <w:color w:val="auto"/>
          <w:sz w:val="22"/>
          <w:szCs w:val="22"/>
          <w:highlight w:val="none"/>
          <w:lang w:eastAsia="zh-CN"/>
        </w:rPr>
        <w:t>高</w:t>
      </w:r>
      <w:r>
        <w:rPr>
          <w:rFonts w:hint="eastAsia" w:ascii="新宋体" w:hAnsi="新宋体" w:eastAsia="新宋体"/>
          <w:color w:val="auto"/>
          <w:sz w:val="22"/>
          <w:szCs w:val="22"/>
          <w:highlight w:val="none"/>
        </w:rPr>
        <w:t>或人员岗位配备齐全，综合素质高为划分标准；B档一般以该分项方案/措施的表述细致度、可操作性、科学性等方面基本满足采购需求或人员岗位配备、综合素质基本满足采购需求为划分标准；C档一般以该分项方案/措施的表述细致度、可操作性、科学性等方面部分满足采购需求或人员岗位配备、综合素质部分满足采购需求为划分标准；；D档一般以该分项方案/措施的表述细致度、可操作性、科学性等方面差或人员岗位配备较少，综合素质差为划分标准。</w:t>
      </w:r>
    </w:p>
    <w:p w14:paraId="77A0FA96">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商务评分（30分）</w:t>
      </w:r>
      <w:r>
        <w:rPr>
          <w:rFonts w:hint="eastAsia" w:ascii="宋体" w:hAnsi="宋体" w:cs="Arial"/>
          <w:color w:val="auto"/>
          <w:sz w:val="22"/>
          <w:highlight w:val="none"/>
        </w:rPr>
        <w:t>：</w:t>
      </w:r>
    </w:p>
    <w:p w14:paraId="249ADACA">
      <w:pPr>
        <w:keepNext w:val="0"/>
        <w:keepLines w:val="0"/>
        <w:pageBreakBefore w:val="0"/>
        <w:widowControl w:val="0"/>
        <w:kinsoku/>
        <w:wordWrap/>
        <w:overflowPunct/>
        <w:topLinePunct w:val="0"/>
        <w:autoSpaceDE/>
        <w:autoSpaceDN/>
        <w:bidi w:val="0"/>
        <w:adjustRightInd/>
        <w:spacing w:line="360" w:lineRule="exact"/>
        <w:ind w:left="328" w:leftChars="156"/>
        <w:textAlignment w:val="auto"/>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14:paraId="588F8712">
      <w:pPr>
        <w:keepNext w:val="0"/>
        <w:keepLines w:val="0"/>
        <w:pageBreakBefore w:val="0"/>
        <w:widowControl w:val="0"/>
        <w:kinsoku/>
        <w:wordWrap/>
        <w:overflowPunct/>
        <w:topLinePunct w:val="0"/>
        <w:autoSpaceDE/>
        <w:autoSpaceDN/>
        <w:bidi w:val="0"/>
        <w:adjustRightInd/>
        <w:spacing w:line="360" w:lineRule="exact"/>
        <w:ind w:firstLine="330" w:firstLineChars="150"/>
        <w:textAlignment w:val="auto"/>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1）有效投标人的投标报价等于评标基准价时其商务分为满分30分；</w:t>
      </w:r>
    </w:p>
    <w:p w14:paraId="22A6BD6C">
      <w:pPr>
        <w:keepNext w:val="0"/>
        <w:keepLines w:val="0"/>
        <w:pageBreakBefore w:val="0"/>
        <w:widowControl w:val="0"/>
        <w:kinsoku/>
        <w:wordWrap/>
        <w:overflowPunct/>
        <w:topLinePunct w:val="0"/>
        <w:autoSpaceDE/>
        <w:autoSpaceDN/>
        <w:bidi w:val="0"/>
        <w:adjustRightInd/>
        <w:spacing w:line="360" w:lineRule="exact"/>
        <w:ind w:firstLine="330" w:firstLineChars="150"/>
        <w:textAlignment w:val="auto"/>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14:paraId="1D9F6E66">
      <w:pPr>
        <w:keepNext w:val="0"/>
        <w:keepLines w:val="0"/>
        <w:pageBreakBefore w:val="0"/>
        <w:widowControl w:val="0"/>
        <w:kinsoku/>
        <w:wordWrap/>
        <w:overflowPunct/>
        <w:topLinePunct w:val="0"/>
        <w:autoSpaceDE/>
        <w:autoSpaceDN/>
        <w:bidi w:val="0"/>
        <w:adjustRightInd/>
        <w:spacing w:line="360" w:lineRule="exact"/>
        <w:ind w:left="657" w:leftChars="313"/>
        <w:textAlignment w:val="auto"/>
        <w:rPr>
          <w:rFonts w:ascii="宋体" w:hAnsi="宋体" w:cs="Arial"/>
          <w:color w:val="auto"/>
          <w:sz w:val="22"/>
          <w:highlight w:val="none"/>
        </w:rPr>
      </w:pPr>
      <w:r>
        <w:rPr>
          <w:rFonts w:hint="eastAsia" w:ascii="宋体" w:hAnsi="宋体" w:cs="Arial"/>
          <w:color w:val="auto"/>
          <w:sz w:val="22"/>
          <w:highlight w:val="none"/>
        </w:rPr>
        <w:t>商务分得分=（评标基准价/投标人投标总价）×30% ×100（四舍五入后保留小数2位）</w:t>
      </w:r>
    </w:p>
    <w:p w14:paraId="6EC45A06">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 工业。对于符合招标文件规定的小、微企业（或监狱企业、残疾人福利单位），给予其产品价格10%的扣除，用扣除后的价格（即价格90% ）参与评审。</w:t>
      </w:r>
    </w:p>
    <w:p w14:paraId="78E035C1">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4）对于联合体协议或者分包意向协议约定小微企业合同份额占到合同总金额30%以上的，对其投标报价给予4%的扣除，用扣除后的价格参与评审。</w:t>
      </w:r>
    </w:p>
    <w:p w14:paraId="6CF2E94F">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color w:val="auto"/>
          <w:sz w:val="22"/>
          <w:highlight w:val="none"/>
        </w:rPr>
      </w:pPr>
      <w:r>
        <w:rPr>
          <w:rFonts w:hint="eastAsia" w:ascii="宋体" w:hAnsi="宋体" w:cs="宋体"/>
          <w:b/>
          <w:color w:val="auto"/>
          <w:sz w:val="22"/>
          <w:szCs w:val="22"/>
          <w:highlight w:val="none"/>
        </w:rPr>
        <w:t>5）</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u w:val="single"/>
        </w:rPr>
        <w:t>本项目采购预算为</w:t>
      </w:r>
      <w:r>
        <w:rPr>
          <w:rFonts w:hint="eastAsia" w:ascii="宋体" w:hAnsi="宋体" w:cs="宋体"/>
          <w:b/>
          <w:color w:val="auto"/>
          <w:sz w:val="22"/>
          <w:szCs w:val="22"/>
          <w:highlight w:val="none"/>
          <w:u w:val="single"/>
          <w:lang w:val="en-US" w:eastAsia="zh-CN"/>
        </w:rPr>
        <w:t>109.398万</w:t>
      </w:r>
      <w:r>
        <w:rPr>
          <w:rFonts w:hint="eastAsia" w:ascii="宋体" w:hAnsi="宋体" w:cs="宋体"/>
          <w:b/>
          <w:color w:val="auto"/>
          <w:sz w:val="22"/>
          <w:szCs w:val="22"/>
          <w:highlight w:val="none"/>
          <w:u w:val="single"/>
        </w:rPr>
        <w:t>元</w:t>
      </w:r>
      <w:r>
        <w:rPr>
          <w:rFonts w:hint="eastAsia" w:ascii="宋体" w:hAnsi="宋体" w:cs="宋体"/>
          <w:b/>
          <w:color w:val="auto"/>
          <w:sz w:val="22"/>
          <w:szCs w:val="22"/>
          <w:highlight w:val="none"/>
          <w:u w:val="single"/>
        </w:rPr>
        <w:t>。如投标人报价超过采购预算，其投标文件作无效标处理</w:t>
      </w:r>
      <w:r>
        <w:rPr>
          <w:rFonts w:hint="eastAsia" w:ascii="宋体" w:hAnsi="宋体" w:cs="宋体"/>
          <w:color w:val="auto"/>
          <w:sz w:val="22"/>
          <w:highlight w:val="none"/>
        </w:rPr>
        <w:t>。</w:t>
      </w:r>
    </w:p>
    <w:p w14:paraId="3FE88176">
      <w:pPr>
        <w:keepNext w:val="0"/>
        <w:keepLines w:val="0"/>
        <w:pageBreakBefore w:val="0"/>
        <w:widowControl w:val="0"/>
        <w:kinsoku/>
        <w:wordWrap/>
        <w:overflowPunct/>
        <w:topLinePunct w:val="0"/>
        <w:autoSpaceDE/>
        <w:autoSpaceDN/>
        <w:bidi w:val="0"/>
        <w:adjustRightInd/>
        <w:spacing w:line="360" w:lineRule="exact"/>
        <w:ind w:firstLine="220" w:firstLineChars="100"/>
        <w:textAlignment w:val="auto"/>
        <w:rPr>
          <w:rFonts w:ascii="宋体" w:hAnsi="宋体" w:cs="Arial"/>
          <w:b/>
          <w:color w:val="auto"/>
          <w:sz w:val="22"/>
          <w:szCs w:val="22"/>
          <w:highlight w:val="none"/>
          <w:u w:val="single"/>
        </w:rPr>
      </w:pPr>
      <w:r>
        <w:rPr>
          <w:rFonts w:hint="eastAsia" w:ascii="宋体" w:hAnsi="宋体" w:cs="Arial"/>
          <w:color w:val="auto"/>
          <w:sz w:val="22"/>
          <w:highlight w:val="none"/>
        </w:rPr>
        <w:t>6）</w:t>
      </w:r>
      <w:r>
        <w:rPr>
          <w:rFonts w:hint="eastAsia" w:ascii="宋体" w:hAnsi="宋体" w:cs="Arial"/>
          <w:color w:val="auto"/>
          <w:sz w:val="22"/>
          <w:szCs w:val="22"/>
          <w:highlight w:val="none"/>
        </w:rPr>
        <w:t>所有投标人商务报价均超采购预算，</w:t>
      </w:r>
      <w:r>
        <w:rPr>
          <w:rFonts w:hint="eastAsia" w:ascii="宋体" w:hAnsi="宋体"/>
          <w:color w:val="auto"/>
          <w:sz w:val="22"/>
          <w:szCs w:val="22"/>
          <w:highlight w:val="none"/>
        </w:rPr>
        <w:t>采购人无法支付的,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14:paraId="4A3D14CF">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kern w:val="0"/>
          <w:sz w:val="22"/>
          <w:szCs w:val="22"/>
          <w:highlight w:val="none"/>
        </w:rPr>
      </w:pPr>
      <w:r>
        <w:rPr>
          <w:rFonts w:hint="eastAsia" w:ascii="宋体" w:hAnsi="宋体" w:cs="Arial"/>
          <w:color w:val="auto"/>
          <w:sz w:val="22"/>
          <w:highlight w:val="none"/>
        </w:rPr>
        <w:t>3、 有效投标人的综合得分为技术资信分和商务（报价）分的总和。</w:t>
      </w:r>
      <w:bookmarkEnd w:id="202"/>
      <w:bookmarkEnd w:id="203"/>
      <w:bookmarkStart w:id="204" w:name="_Toc239145360"/>
      <w:bookmarkStart w:id="205" w:name="_Toc245191320"/>
      <w:bookmarkStart w:id="206" w:name="_Toc222114885"/>
      <w:bookmarkStart w:id="207" w:name="_Toc221423625"/>
      <w:bookmarkStart w:id="208" w:name="_Toc221374632"/>
      <w:bookmarkStart w:id="209" w:name="_Toc241404208"/>
      <w:bookmarkStart w:id="210" w:name="_Toc221356957"/>
      <w:bookmarkStart w:id="211" w:name="_Toc245722287"/>
      <w:bookmarkStart w:id="212" w:name="_Toc246261271"/>
      <w:bookmarkStart w:id="213" w:name="_Toc223716004"/>
      <w:bookmarkStart w:id="214" w:name="_Toc221356894"/>
    </w:p>
    <w:p w14:paraId="324952E7">
      <w:pPr>
        <w:pStyle w:val="3"/>
        <w:rPr>
          <w:rFonts w:ascii="宋体" w:hAnsi="宋体" w:eastAsia="宋体" w:cs="Arial"/>
          <w:color w:val="auto"/>
          <w:sz w:val="36"/>
          <w:szCs w:val="36"/>
          <w:highlight w:val="none"/>
        </w:rPr>
      </w:pPr>
      <w:r>
        <w:rPr>
          <w:rFonts w:hint="eastAsia" w:ascii="宋体" w:hAnsi="宋体" w:eastAsia="宋体"/>
          <w:color w:val="auto"/>
          <w:sz w:val="22"/>
          <w:highlight w:val="none"/>
        </w:rPr>
        <w:br w:type="page"/>
      </w:r>
      <w:bookmarkStart w:id="215" w:name="_Toc262049425"/>
      <w:bookmarkStart w:id="216" w:name="_Toc249758721"/>
      <w:bookmarkStart w:id="217" w:name="_Toc249758871"/>
      <w:bookmarkStart w:id="218" w:name="_Toc20174"/>
      <w:bookmarkStart w:id="219" w:name="_Toc262105510"/>
      <w:r>
        <w:rPr>
          <w:rFonts w:hint="eastAsia" w:ascii="宋体" w:hAnsi="宋体" w:eastAsia="宋体" w:cs="Arial"/>
          <w:color w:val="auto"/>
          <w:sz w:val="36"/>
          <w:szCs w:val="36"/>
          <w:highlight w:val="none"/>
        </w:rPr>
        <w:t>第四部分   合同主要条款</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77A846F">
      <w:pPr>
        <w:rPr>
          <w:color w:val="auto"/>
          <w:highlight w:val="none"/>
        </w:rPr>
      </w:pPr>
      <w:bookmarkStart w:id="220" w:name="_Toc221356897"/>
      <w:bookmarkStart w:id="221" w:name="_Toc221374633"/>
      <w:bookmarkStart w:id="222" w:name="_Toc221356960"/>
    </w:p>
    <w:p w14:paraId="6919C6C9">
      <w:pPr>
        <w:pStyle w:val="34"/>
        <w:snapToGrid w:val="0"/>
        <w:spacing w:line="360" w:lineRule="auto"/>
        <w:jc w:val="both"/>
        <w:rPr>
          <w:rFonts w:hAnsi="宋体" w:cs="Arial"/>
          <w:b/>
          <w:color w:val="auto"/>
          <w:sz w:val="22"/>
          <w:szCs w:val="22"/>
          <w:highlight w:val="none"/>
          <w:u w:val="wave"/>
        </w:rPr>
      </w:pPr>
      <w:r>
        <w:rPr>
          <w:rFonts w:hint="eastAsia" w:hAnsi="宋体" w:cs="Arial"/>
          <w:b/>
          <w:color w:val="auto"/>
          <w:sz w:val="22"/>
          <w:szCs w:val="22"/>
          <w:highlight w:val="none"/>
          <w:u w:val="wave"/>
        </w:rPr>
        <w:t>说明：如甲乙双方同意，合同格式也可以按照其他形式。</w:t>
      </w:r>
    </w:p>
    <w:p w14:paraId="0D7A657E">
      <w:pPr>
        <w:pStyle w:val="34"/>
        <w:snapToGrid w:val="0"/>
        <w:spacing w:line="360" w:lineRule="auto"/>
        <w:rPr>
          <w:rFonts w:hAnsi="宋体" w:cs="Arial"/>
          <w:color w:val="auto"/>
          <w:sz w:val="22"/>
          <w:szCs w:val="22"/>
          <w:highlight w:val="none"/>
        </w:rPr>
      </w:pPr>
    </w:p>
    <w:p w14:paraId="634D7056">
      <w:pPr>
        <w:pStyle w:val="24"/>
        <w:rPr>
          <w:color w:val="auto"/>
          <w:highlight w:val="none"/>
        </w:rPr>
      </w:pPr>
    </w:p>
    <w:p w14:paraId="57745EED">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p>
    <w:p w14:paraId="40A79F25">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w:t>
      </w:r>
    </w:p>
    <w:p w14:paraId="7D6AEA06">
      <w:pPr>
        <w:numPr>
          <w:ilvl w:val="0"/>
          <w:numId w:val="40"/>
        </w:numPr>
        <w:tabs>
          <w:tab w:val="clear" w:pos="780"/>
        </w:tabs>
        <w:spacing w:line="400" w:lineRule="exact"/>
        <w:ind w:left="425" w:hanging="425"/>
        <w:rPr>
          <w:rFonts w:ascii="宋体" w:hAnsi="宋体"/>
          <w:b/>
          <w:bCs/>
          <w:color w:val="auto"/>
          <w:sz w:val="22"/>
          <w:szCs w:val="22"/>
          <w:highlight w:val="none"/>
        </w:rPr>
      </w:pPr>
      <w:r>
        <w:rPr>
          <w:rFonts w:hint="eastAsia" w:ascii="宋体" w:hAnsi="宋体"/>
          <w:b/>
          <w:bCs/>
          <w:color w:val="auto"/>
          <w:sz w:val="22"/>
          <w:szCs w:val="22"/>
          <w:highlight w:val="none"/>
        </w:rPr>
        <w:t>定义：</w:t>
      </w:r>
    </w:p>
    <w:p w14:paraId="7445C082">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本合同下列述语应解释为：</w:t>
      </w:r>
    </w:p>
    <w:p w14:paraId="09FAAF69">
      <w:pPr>
        <w:numPr>
          <w:ilvl w:val="1"/>
          <w:numId w:val="40"/>
        </w:numPr>
        <w:tabs>
          <w:tab w:val="clear" w:pos="840"/>
        </w:tabs>
        <w:spacing w:line="400" w:lineRule="exact"/>
        <w:ind w:left="540" w:hanging="540"/>
        <w:rPr>
          <w:rFonts w:ascii="宋体" w:hAnsi="宋体"/>
          <w:b/>
          <w:bCs/>
          <w:color w:val="auto"/>
          <w:sz w:val="22"/>
          <w:szCs w:val="22"/>
          <w:highlight w:val="none"/>
        </w:rPr>
      </w:pPr>
      <w:r>
        <w:rPr>
          <w:rFonts w:hint="eastAsia" w:ascii="宋体" w:hAnsi="宋体"/>
          <w:color w:val="auto"/>
          <w:spacing w:val="6"/>
          <w:sz w:val="22"/>
          <w:szCs w:val="22"/>
          <w:highlight w:val="none"/>
        </w:rPr>
        <w:t>“合同”系指甲乙双方签署的，合同格式中载明的甲乙双方所达成的协议，包括所有的附件和</w:t>
      </w:r>
      <w:r>
        <w:rPr>
          <w:rFonts w:hint="eastAsia" w:ascii="宋体" w:hAnsi="宋体"/>
          <w:color w:val="auto"/>
          <w:sz w:val="22"/>
          <w:szCs w:val="22"/>
          <w:highlight w:val="none"/>
        </w:rPr>
        <w:t>构成合同</w:t>
      </w:r>
      <w:r>
        <w:rPr>
          <w:rFonts w:hint="eastAsia" w:ascii="宋体" w:hAnsi="宋体"/>
          <w:color w:val="auto"/>
          <w:sz w:val="22"/>
          <w:szCs w:val="22"/>
          <w:highlight w:val="none"/>
          <w:lang w:eastAsia="zh-CN"/>
        </w:rPr>
        <w:t>的其他文件</w:t>
      </w:r>
      <w:r>
        <w:rPr>
          <w:rFonts w:hint="eastAsia" w:ascii="宋体" w:hAnsi="宋体"/>
          <w:color w:val="auto"/>
          <w:sz w:val="22"/>
          <w:szCs w:val="22"/>
          <w:highlight w:val="none"/>
        </w:rPr>
        <w:t>。</w:t>
      </w:r>
    </w:p>
    <w:p w14:paraId="4DF6A9CB">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b/>
          <w:bCs/>
          <w:color w:val="auto"/>
          <w:sz w:val="22"/>
          <w:szCs w:val="22"/>
          <w:highlight w:val="none"/>
        </w:rPr>
        <w:t>“合同价”是指根据本合同规定，乙方在正确地完全履行合同义务后甲方应支付给乙方的价款。即：货物的供货、税金、包装、运输、保险、装卸、安装调试、检验、配合验收、技术服务、售后服务、质保期保障、材料等全部费用、实行固定费用总包干。</w:t>
      </w:r>
    </w:p>
    <w:p w14:paraId="54FBADB6">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“货物”是指根据合同规定须向甲方提供的一切设备、机械和其它材料。</w:t>
      </w:r>
    </w:p>
    <w:p w14:paraId="06C907B9">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“服务”是指根据合同规定乙方承担与供货有关的辅助服务，如运输、保险以及其它的伴随服务，例如安装、调试、提供技术协助、培训和合同中规定乙方应承担的其它义务。</w:t>
      </w:r>
    </w:p>
    <w:p w14:paraId="130BEFB0">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“现场”是指合同项下货物将要进行安装运行的地点。</w:t>
      </w:r>
    </w:p>
    <w:p w14:paraId="039BB3F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“验收”是指合同双方依据规定的程序和条件确认合同项下的货物符合技术规范的要求。</w:t>
      </w:r>
    </w:p>
    <w:p w14:paraId="590803B5">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bCs/>
          <w:color w:val="auto"/>
          <w:sz w:val="22"/>
          <w:szCs w:val="22"/>
          <w:highlight w:val="none"/>
        </w:rPr>
        <w:t>标准</w:t>
      </w:r>
    </w:p>
    <w:p w14:paraId="6390A73D">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14:paraId="682E6F19">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除非技术规格中另有规定，计量单位均采用中华人民共和国法定计量单位。</w:t>
      </w:r>
    </w:p>
    <w:p w14:paraId="2C09DA63">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bCs/>
          <w:color w:val="auto"/>
          <w:sz w:val="22"/>
          <w:szCs w:val="22"/>
          <w:highlight w:val="none"/>
        </w:rPr>
        <w:t>专利权</w:t>
      </w:r>
    </w:p>
    <w:p w14:paraId="6E0B1005">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41E59B48">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包装要求</w:t>
      </w:r>
    </w:p>
    <w:p w14:paraId="0DEF9310">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14:paraId="29EFC28E">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每一包装箱内必须附有装箱清单、合格证和齐全的技术资料等。</w:t>
      </w:r>
    </w:p>
    <w:p w14:paraId="13887C47">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装运标记</w:t>
      </w:r>
    </w:p>
    <w:p w14:paraId="42700986">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乙方应在每一包装箱相邻的四侧用不可擦除的油漆以醒目的中文字样标注下列标记：</w:t>
      </w:r>
    </w:p>
    <w:p w14:paraId="75D9D87F">
      <w:pPr>
        <w:spacing w:line="400" w:lineRule="exact"/>
        <w:ind w:left="-1" w:firstLine="539" w:firstLineChars="245"/>
        <w:rPr>
          <w:rFonts w:ascii="宋体" w:hAnsi="宋体"/>
          <w:color w:val="auto"/>
          <w:sz w:val="22"/>
          <w:szCs w:val="22"/>
          <w:highlight w:val="none"/>
        </w:rPr>
      </w:pPr>
      <w:r>
        <w:rPr>
          <w:rFonts w:hint="eastAsia" w:ascii="宋体" w:hAnsi="宋体"/>
          <w:color w:val="auto"/>
          <w:sz w:val="22"/>
          <w:szCs w:val="22"/>
          <w:highlight w:val="none"/>
        </w:rPr>
        <w:t>1）   收货人</w:t>
      </w:r>
    </w:p>
    <w:p w14:paraId="54A23115">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2）   货物名称和箱号</w:t>
      </w:r>
    </w:p>
    <w:p w14:paraId="5BCCFD1D">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3）   合同号</w:t>
      </w:r>
    </w:p>
    <w:p w14:paraId="2FE2BBF1">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4）   发货标记（唛头）</w:t>
      </w:r>
    </w:p>
    <w:p w14:paraId="2454FD12">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5）   到达站或到货地点</w:t>
      </w:r>
    </w:p>
    <w:p w14:paraId="35ECEF77">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6）   外型尺寸（长×宽×高用厘米表示）</w:t>
      </w:r>
    </w:p>
    <w:p w14:paraId="03E15AD3">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7）   毛重/净重（用公斤表示）</w:t>
      </w:r>
    </w:p>
    <w:p w14:paraId="50289882">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14:paraId="3B2318C4">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交货方式：</w:t>
      </w:r>
    </w:p>
    <w:p w14:paraId="3CB4312C">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现场交货：乙方负责办理运输和保险，将货物运抵甲方指定的现场并落地就位。有关运输和保险的一切费用由乙方承担。所有货物运抵现场的日期为交货日期。</w:t>
      </w:r>
    </w:p>
    <w:p w14:paraId="435378C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现场交货条件下，乙方在货物发运前15天，应将要发运货物的合同号、货物名称、规格、数量、包装箱件数、重量、包装箱尺寸（长×宽×高）和货物的卸车，贮存的特殊要求以及运输工具名称以及启运日期，以传真形式通知甲方。</w:t>
      </w:r>
    </w:p>
    <w:p w14:paraId="3D52CE7B">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如因乙方延误将上述内容用传真形式通知甲方，由此引起的一切损失应由乙方承担。</w:t>
      </w:r>
    </w:p>
    <w:p w14:paraId="3ECC8FA6">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交货时间：</w:t>
      </w:r>
    </w:p>
    <w:p w14:paraId="6E3FA55A">
      <w:pPr>
        <w:numPr>
          <w:ilvl w:val="-1"/>
          <w:numId w:val="0"/>
        </w:numPr>
        <w:spacing w:line="240" w:lineRule="auto"/>
        <w:ind w:left="0" w:firstLine="442" w:firstLineChars="200"/>
        <w:rPr>
          <w:rFonts w:ascii="宋体" w:hAnsi="宋体" w:cs="Arial"/>
          <w:b/>
          <w:bCs/>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u w:val="single"/>
        </w:rPr>
        <w:t>乙方需在合同签订后，</w:t>
      </w:r>
      <w:r>
        <w:rPr>
          <w:rFonts w:hint="eastAsia" w:ascii="宋体" w:hAnsi="宋体"/>
          <w:b/>
          <w:color w:val="auto"/>
          <w:sz w:val="22"/>
          <w:szCs w:val="22"/>
          <w:highlight w:val="none"/>
          <w:lang w:val="en-US" w:eastAsia="zh-CN"/>
        </w:rPr>
        <w:t>于</w:t>
      </w:r>
      <w:r>
        <w:rPr>
          <w:rFonts w:hint="eastAsia" w:ascii="宋体" w:hAnsi="宋体" w:eastAsia="宋体" w:cs="宋体"/>
          <w:b/>
          <w:bCs/>
          <w:i w:val="0"/>
          <w:iCs w:val="0"/>
          <w:color w:val="000000"/>
          <w:kern w:val="0"/>
          <w:sz w:val="22"/>
          <w:szCs w:val="22"/>
          <w:u w:val="single"/>
          <w:lang w:val="en-US" w:eastAsia="zh-CN" w:bidi="ar"/>
        </w:rPr>
        <w:t>2024年11月1日前完成</w:t>
      </w:r>
      <w:r>
        <w:rPr>
          <w:rFonts w:hint="eastAsia" w:ascii="宋体" w:hAnsi="宋体" w:cs="宋体"/>
          <w:b/>
          <w:bCs/>
          <w:i w:val="0"/>
          <w:iCs w:val="0"/>
          <w:color w:val="000000"/>
          <w:kern w:val="0"/>
          <w:sz w:val="22"/>
          <w:szCs w:val="22"/>
          <w:u w:val="single"/>
          <w:lang w:val="en-US" w:eastAsia="zh-CN" w:bidi="ar"/>
        </w:rPr>
        <w:t>供货、安装、调试等工作</w:t>
      </w:r>
      <w:r>
        <w:rPr>
          <w:rFonts w:hint="eastAsia" w:ascii="宋体" w:hAnsi="宋体"/>
          <w:b/>
          <w:color w:val="auto"/>
          <w:sz w:val="22"/>
          <w:szCs w:val="22"/>
          <w:highlight w:val="none"/>
          <w:u w:val="single"/>
        </w:rPr>
        <w:t>。</w:t>
      </w:r>
    </w:p>
    <w:p w14:paraId="4452CB28">
      <w:pPr>
        <w:numPr>
          <w:ilvl w:val="1"/>
          <w:numId w:val="40"/>
        </w:numPr>
        <w:tabs>
          <w:tab w:val="clear" w:pos="840"/>
        </w:tabs>
        <w:spacing w:line="400" w:lineRule="exact"/>
        <w:ind w:left="540" w:hanging="540"/>
        <w:rPr>
          <w:rFonts w:ascii="宋体" w:hAnsi="宋体"/>
          <w:b/>
          <w:color w:val="auto"/>
          <w:sz w:val="22"/>
          <w:szCs w:val="22"/>
          <w:highlight w:val="none"/>
        </w:rPr>
      </w:pPr>
      <w:r>
        <w:rPr>
          <w:rFonts w:hint="eastAsia" w:ascii="宋体" w:hAnsi="宋体" w:cs="Arial"/>
          <w:bCs/>
          <w:color w:val="auto"/>
          <w:sz w:val="22"/>
          <w:szCs w:val="22"/>
          <w:highlight w:val="none"/>
        </w:rPr>
        <w:t>交货地点：业主指定地点。</w:t>
      </w:r>
    </w:p>
    <w:p w14:paraId="20AC9628">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color w:val="auto"/>
          <w:sz w:val="22"/>
          <w:szCs w:val="22"/>
          <w:highlight w:val="none"/>
        </w:rPr>
        <w:t>安装、调试</w:t>
      </w:r>
    </w:p>
    <w:p w14:paraId="2E7CF08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安装前开箱时，乙方须通知甲方及有关单位共同参与开箱检验。并按采购合同、询标记录、投标文件、招标文件共同检验产品的数量、外观质量及产地等。</w:t>
      </w:r>
    </w:p>
    <w:p w14:paraId="6EF5F9A9">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安装前，招标人将委托地（市）级以上质量监督部门依据采购合同、询标记录、投标文件、招标文件、工艺进行抽检并出具检验报告，检验合格后方可安装，检验费用由乙方承担。</w:t>
      </w:r>
    </w:p>
    <w:p w14:paraId="0F88E758">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产品最终验收前的人员及设备安全，概由乙方负责。</w:t>
      </w:r>
    </w:p>
    <w:p w14:paraId="4CDA8859">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color w:val="auto"/>
          <w:sz w:val="22"/>
          <w:szCs w:val="22"/>
          <w:highlight w:val="none"/>
        </w:rPr>
        <w:t>产品最终验收</w:t>
      </w:r>
    </w:p>
    <w:p w14:paraId="14DEAAC6">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设备的安装、调试结束后，经过试运转考核无故障，并经有关部门检验合格后，买、卖双方共同签署验收合格证书。</w:t>
      </w:r>
    </w:p>
    <w:p w14:paraId="3C1D9DBB">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付款约定</w:t>
      </w:r>
    </w:p>
    <w:p w14:paraId="3799B13C">
      <w:pPr>
        <w:numPr>
          <w:ilvl w:val="1"/>
          <w:numId w:val="40"/>
        </w:numPr>
        <w:tabs>
          <w:tab w:val="clear" w:pos="840"/>
        </w:tabs>
        <w:spacing w:line="400" w:lineRule="exact"/>
        <w:ind w:left="540" w:hanging="540"/>
        <w:rPr>
          <w:rFonts w:ascii="宋体" w:hAnsi="宋体" w:cs="Arial"/>
          <w:bCs/>
          <w:color w:val="auto"/>
          <w:sz w:val="22"/>
          <w:szCs w:val="22"/>
          <w:highlight w:val="none"/>
          <w:u w:val="single"/>
        </w:rPr>
      </w:pPr>
      <w:r>
        <w:rPr>
          <w:rFonts w:hint="eastAsia" w:ascii="宋体" w:hAnsi="宋体" w:cs="Arial"/>
          <w:bCs/>
          <w:color w:val="auto"/>
          <w:sz w:val="22"/>
          <w:szCs w:val="22"/>
          <w:highlight w:val="none"/>
        </w:rPr>
        <w:t>本项目合同价款为</w:t>
      </w:r>
      <w:r>
        <w:rPr>
          <w:rFonts w:hint="eastAsia" w:ascii="宋体" w:hAnsi="宋体" w:cs="Arial"/>
          <w:bCs/>
          <w:color w:val="auto"/>
          <w:sz w:val="22"/>
          <w:szCs w:val="22"/>
          <w:highlight w:val="none"/>
          <w:u w:val="single"/>
        </w:rPr>
        <w:t xml:space="preserve">        </w:t>
      </w:r>
      <w:r>
        <w:rPr>
          <w:rFonts w:hint="eastAsia" w:ascii="宋体" w:hAnsi="宋体" w:cs="Arial"/>
          <w:bCs/>
          <w:color w:val="auto"/>
          <w:sz w:val="22"/>
          <w:szCs w:val="22"/>
          <w:highlight w:val="none"/>
        </w:rPr>
        <w:t>元。</w:t>
      </w:r>
    </w:p>
    <w:p w14:paraId="0BE147B4">
      <w:pPr>
        <w:numPr>
          <w:ilvl w:val="1"/>
          <w:numId w:val="40"/>
        </w:numPr>
        <w:tabs>
          <w:tab w:val="clear" w:pos="840"/>
        </w:tabs>
        <w:snapToGrid w:val="0"/>
        <w:spacing w:line="440" w:lineRule="exact"/>
        <w:ind w:left="442" w:hanging="540"/>
        <w:rPr>
          <w:rFonts w:hint="eastAsia" w:ascii="宋体" w:hAnsi="宋体"/>
          <w:b/>
          <w:color w:val="auto"/>
          <w:sz w:val="22"/>
          <w:szCs w:val="22"/>
          <w:highlight w:val="none"/>
          <w:u w:val="single"/>
        </w:rPr>
      </w:pPr>
      <w:r>
        <w:rPr>
          <w:rFonts w:hint="eastAsia" w:ascii="宋体" w:hAnsi="宋体" w:cs="Arial"/>
          <w:bCs/>
          <w:color w:val="auto"/>
          <w:sz w:val="22"/>
          <w:szCs w:val="22"/>
          <w:highlight w:val="none"/>
        </w:rPr>
        <w:t>本项目预付款为</w:t>
      </w:r>
      <w:r>
        <w:rPr>
          <w:rFonts w:hint="eastAsia" w:ascii="宋体" w:hAnsi="宋体" w:cs="Arial"/>
          <w:bCs/>
          <w:color w:val="auto"/>
          <w:sz w:val="22"/>
          <w:szCs w:val="22"/>
          <w:highlight w:val="none"/>
          <w:u w:val="single"/>
        </w:rPr>
        <w:t xml:space="preserve">          </w:t>
      </w:r>
      <w:r>
        <w:rPr>
          <w:rFonts w:hint="eastAsia" w:ascii="宋体" w:hAnsi="宋体" w:cs="Arial"/>
          <w:bCs/>
          <w:color w:val="auto"/>
          <w:sz w:val="22"/>
          <w:szCs w:val="22"/>
          <w:highlight w:val="none"/>
        </w:rPr>
        <w:t>元，预付款的担保措施为</w:t>
      </w:r>
      <w:bookmarkStart w:id="223" w:name="_Hlk92201969"/>
      <w:r>
        <w:rPr>
          <w:rFonts w:hint="eastAsia" w:ascii="宋体" w:hAnsi="宋体" w:cs="Arial"/>
          <w:bCs/>
          <w:color w:val="auto"/>
          <w:sz w:val="22"/>
          <w:szCs w:val="22"/>
          <w:highlight w:val="none"/>
        </w:rPr>
        <w:t>经甲方书面确认合格的</w:t>
      </w:r>
      <w:r>
        <w:rPr>
          <w:rFonts w:ascii="宋体" w:hAnsi="宋体" w:cs="Arial"/>
          <w:bCs/>
          <w:color w:val="auto"/>
          <w:sz w:val="22"/>
          <w:szCs w:val="22"/>
          <w:highlight w:val="none"/>
          <w:u w:val="single"/>
        </w:rPr>
        <w:t>银行、保险公司等金融机构出具的预付款保函</w:t>
      </w:r>
      <w:r>
        <w:rPr>
          <w:rFonts w:ascii="宋体" w:hAnsi="宋体" w:cs="Arial"/>
          <w:bCs/>
          <w:color w:val="auto"/>
          <w:sz w:val="22"/>
          <w:szCs w:val="22"/>
          <w:highlight w:val="none"/>
        </w:rPr>
        <w:t>。</w:t>
      </w:r>
    </w:p>
    <w:bookmarkEnd w:id="223"/>
    <w:p w14:paraId="2D58EA94">
      <w:pPr>
        <w:snapToGrid w:val="0"/>
        <w:spacing w:line="440" w:lineRule="exact"/>
        <w:ind w:left="360"/>
        <w:rPr>
          <w:rFonts w:ascii="宋体" w:hAnsi="宋体"/>
          <w:b/>
          <w:color w:val="auto"/>
          <w:sz w:val="22"/>
          <w:szCs w:val="22"/>
          <w:highlight w:val="none"/>
          <w:u w:val="single"/>
        </w:rPr>
      </w:pPr>
      <w:r>
        <w:rPr>
          <w:rFonts w:hint="eastAsia" w:ascii="宋体" w:hAnsi="宋体" w:cs="Arial"/>
          <w:b/>
          <w:color w:val="auto"/>
          <w:sz w:val="22"/>
          <w:szCs w:val="22"/>
          <w:highlight w:val="none"/>
          <w:u w:val="single"/>
        </w:rPr>
        <w:t>▲合同签订7个工作日内，甲方向乙方支付合同价款的40%；在乙方</w:t>
      </w:r>
      <w:r>
        <w:rPr>
          <w:rFonts w:hint="eastAsia" w:ascii="宋体" w:hAnsi="宋体" w:cs="Arial"/>
          <w:b/>
          <w:color w:val="auto"/>
          <w:sz w:val="22"/>
          <w:szCs w:val="22"/>
          <w:highlight w:val="none"/>
          <w:u w:val="single"/>
          <w:lang w:val="en-US" w:eastAsia="zh-CN"/>
        </w:rPr>
        <w:t>全部供货完成，</w:t>
      </w:r>
      <w:r>
        <w:rPr>
          <w:rFonts w:hint="eastAsia" w:ascii="宋体" w:hAnsi="宋体" w:cs="Arial"/>
          <w:b/>
          <w:color w:val="auto"/>
          <w:sz w:val="22"/>
          <w:szCs w:val="22"/>
          <w:highlight w:val="none"/>
          <w:u w:val="single"/>
        </w:rPr>
        <w:t>安装完毕并通过验收后7个工作日内，甲方需向乙方支付合同款的60%。</w:t>
      </w:r>
    </w:p>
    <w:p w14:paraId="33A7BDF6">
      <w:pPr>
        <w:spacing w:line="440" w:lineRule="exact"/>
        <w:ind w:left="360"/>
        <w:rPr>
          <w:rFonts w:ascii="宋体" w:hAnsi="宋体" w:cs="宋体"/>
          <w:color w:val="auto"/>
          <w:sz w:val="22"/>
          <w:szCs w:val="22"/>
          <w:highlight w:val="none"/>
        </w:rPr>
      </w:pPr>
      <w:r>
        <w:rPr>
          <w:rFonts w:hint="eastAsia" w:ascii="宋体" w:hAnsi="宋体" w:cs="宋体"/>
          <w:color w:val="auto"/>
          <w:sz w:val="22"/>
          <w:szCs w:val="22"/>
          <w:highlight w:val="none"/>
        </w:rPr>
        <w:t>乙方需在付款日前向甲方开具合法有效的增值税发票，如逾期未提供的，甲方有权推迟付款，且不构成违约。</w:t>
      </w:r>
    </w:p>
    <w:p w14:paraId="08DE24AC">
      <w:pPr>
        <w:spacing w:line="440" w:lineRule="exact"/>
        <w:ind w:left="420" w:leftChars="200"/>
        <w:rPr>
          <w:rFonts w:ascii="宋体" w:hAnsi="宋体"/>
          <w:b/>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Arial"/>
          <w:b/>
          <w:bCs/>
          <w:color w:val="auto"/>
          <w:sz w:val="22"/>
          <w:szCs w:val="22"/>
          <w:highlight w:val="none"/>
        </w:rPr>
        <w:t>根据浙江省财政厅文件《浙江省财政厅关于进一步发挥政府采购政策功能全力推动经济稳进提质的通知》（浙财采监[2022]3号）的规定，乙方明确表示无需预付款或者主动要求降低预付款比例的，甲方可不适用前述规定。</w:t>
      </w:r>
      <w:r>
        <w:rPr>
          <w:rFonts w:hint="eastAsia" w:ascii="宋体" w:hAnsi="宋体" w:cs="宋体"/>
          <w:color w:val="auto"/>
          <w:sz w:val="22"/>
          <w:szCs w:val="22"/>
          <w:highlight w:val="none"/>
        </w:rPr>
        <w:t>）</w:t>
      </w:r>
    </w:p>
    <w:p w14:paraId="484EA4B0">
      <w:pPr>
        <w:numPr>
          <w:ilvl w:val="1"/>
          <w:numId w:val="40"/>
        </w:numPr>
        <w:tabs>
          <w:tab w:val="clear" w:pos="840"/>
        </w:tabs>
        <w:spacing w:line="400" w:lineRule="exact"/>
        <w:ind w:left="540" w:hanging="540"/>
        <w:rPr>
          <w:rFonts w:ascii="宋体" w:hAnsi="宋体" w:cs="Arial"/>
          <w:bCs/>
          <w:color w:val="auto"/>
          <w:sz w:val="22"/>
          <w:szCs w:val="22"/>
          <w:highlight w:val="none"/>
        </w:rPr>
      </w:pPr>
      <w:r>
        <w:rPr>
          <w:rFonts w:hint="eastAsia" w:ascii="宋体" w:hAnsi="宋体" w:cs="Arial"/>
          <w:bCs/>
          <w:color w:val="auto"/>
          <w:sz w:val="22"/>
          <w:szCs w:val="22"/>
          <w:highlight w:val="none"/>
        </w:rPr>
        <w:t>合同价款介入乙方指定银行账户，银行账户信息为：</w:t>
      </w:r>
    </w:p>
    <w:p w14:paraId="4ABAAD30">
      <w:pPr>
        <w:pStyle w:val="151"/>
        <w:spacing w:line="400" w:lineRule="exact"/>
        <w:ind w:firstLine="440"/>
        <w:rPr>
          <w:rFonts w:hAnsi="宋体" w:eastAsia="宋体"/>
          <w:color w:val="auto"/>
          <w:sz w:val="22"/>
          <w:szCs w:val="22"/>
          <w:highlight w:val="none"/>
        </w:rPr>
      </w:pPr>
      <w:r>
        <w:rPr>
          <w:rFonts w:hint="eastAsia" w:hAnsi="宋体" w:eastAsia="宋体"/>
          <w:color w:val="auto"/>
          <w:sz w:val="22"/>
          <w:szCs w:val="22"/>
          <w:highlight w:val="none"/>
        </w:rPr>
        <w:t>账户名称：</w:t>
      </w:r>
    </w:p>
    <w:p w14:paraId="0A4C2505">
      <w:pPr>
        <w:pStyle w:val="151"/>
        <w:spacing w:line="400" w:lineRule="exact"/>
        <w:ind w:firstLine="440"/>
        <w:rPr>
          <w:rFonts w:hAnsi="宋体" w:eastAsia="宋体"/>
          <w:color w:val="auto"/>
          <w:sz w:val="22"/>
          <w:szCs w:val="22"/>
          <w:highlight w:val="none"/>
        </w:rPr>
      </w:pPr>
      <w:r>
        <w:rPr>
          <w:rFonts w:hint="eastAsia" w:hAnsi="宋体" w:eastAsia="宋体"/>
          <w:color w:val="auto"/>
          <w:sz w:val="22"/>
          <w:szCs w:val="22"/>
          <w:highlight w:val="none"/>
        </w:rPr>
        <w:t>开户行：</w:t>
      </w:r>
    </w:p>
    <w:p w14:paraId="03FC5D89">
      <w:pPr>
        <w:pStyle w:val="151"/>
        <w:spacing w:line="400" w:lineRule="exact"/>
        <w:ind w:firstLine="440"/>
        <w:rPr>
          <w:color w:val="auto"/>
          <w:highlight w:val="none"/>
        </w:rPr>
      </w:pPr>
      <w:r>
        <w:rPr>
          <w:rFonts w:hint="eastAsia" w:hAnsi="宋体" w:eastAsia="宋体"/>
          <w:color w:val="auto"/>
          <w:sz w:val="22"/>
          <w:szCs w:val="22"/>
          <w:highlight w:val="none"/>
        </w:rPr>
        <w:t>银行账号：</w:t>
      </w:r>
    </w:p>
    <w:p w14:paraId="7D99711B">
      <w:pPr>
        <w:numPr>
          <w:ilvl w:val="0"/>
          <w:numId w:val="40"/>
        </w:numPr>
        <w:tabs>
          <w:tab w:val="clear" w:pos="780"/>
        </w:tabs>
        <w:spacing w:line="400" w:lineRule="exact"/>
        <w:ind w:left="540" w:hanging="540"/>
        <w:rPr>
          <w:rFonts w:ascii="宋体" w:hAnsi="宋体"/>
          <w:b/>
          <w:bCs/>
          <w:color w:val="auto"/>
          <w:sz w:val="22"/>
          <w:szCs w:val="22"/>
          <w:highlight w:val="none"/>
        </w:rPr>
      </w:pPr>
      <w:r>
        <w:rPr>
          <w:rFonts w:hint="eastAsia" w:ascii="宋体" w:hAnsi="宋体"/>
          <w:b/>
          <w:color w:val="auto"/>
          <w:sz w:val="22"/>
          <w:szCs w:val="22"/>
          <w:highlight w:val="none"/>
        </w:rPr>
        <w:t>技术文件和资料</w:t>
      </w:r>
    </w:p>
    <w:p w14:paraId="15368ED7">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提供技术文件和资料的种类和数量在本招标文件《采购内容及要求》中规定，甲乙双方可根据采购要求和需要订立具体的技术文件和资料交付时间和数量。</w:t>
      </w:r>
    </w:p>
    <w:p w14:paraId="0C383BAB">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如果甲方确认乙方提供的技术文件和资料不完整，或在运输途中丢失，乙方应在收到甲方通知后3天内将这些文件、资料补齐。</w:t>
      </w:r>
    </w:p>
    <w:p w14:paraId="13A2D8BE">
      <w:pPr>
        <w:numPr>
          <w:ilvl w:val="0"/>
          <w:numId w:val="40"/>
        </w:numPr>
        <w:tabs>
          <w:tab w:val="clear" w:pos="780"/>
        </w:tabs>
        <w:spacing w:line="400" w:lineRule="exact"/>
        <w:ind w:left="540" w:hanging="540"/>
        <w:rPr>
          <w:rFonts w:ascii="宋体" w:hAnsi="宋体"/>
          <w:b/>
          <w:bCs/>
          <w:color w:val="auto"/>
          <w:sz w:val="22"/>
          <w:szCs w:val="22"/>
          <w:highlight w:val="none"/>
        </w:rPr>
      </w:pPr>
      <w:r>
        <w:rPr>
          <w:rFonts w:hint="eastAsia" w:ascii="宋体" w:hAnsi="宋体"/>
          <w:b/>
          <w:color w:val="auto"/>
          <w:sz w:val="22"/>
          <w:szCs w:val="22"/>
          <w:highlight w:val="none"/>
        </w:rPr>
        <w:t>质量保证</w:t>
      </w:r>
    </w:p>
    <w:p w14:paraId="240BB82A">
      <w:pPr>
        <w:numPr>
          <w:ilvl w:val="1"/>
          <w:numId w:val="40"/>
        </w:numPr>
        <w:tabs>
          <w:tab w:val="clear" w:pos="840"/>
        </w:tabs>
        <w:spacing w:line="400" w:lineRule="exact"/>
        <w:ind w:left="540" w:hanging="540"/>
        <w:rPr>
          <w:rFonts w:ascii="宋体" w:hAnsi="宋体"/>
          <w:b/>
          <w:bCs/>
          <w:color w:val="auto"/>
          <w:sz w:val="22"/>
          <w:szCs w:val="22"/>
          <w:highlight w:val="none"/>
        </w:rPr>
      </w:pPr>
      <w:r>
        <w:rPr>
          <w:rFonts w:hint="eastAsia" w:ascii="宋体" w:hAnsi="宋体"/>
          <w:color w:val="auto"/>
          <w:sz w:val="22"/>
          <w:szCs w:val="22"/>
          <w:highlight w:val="none"/>
        </w:rPr>
        <w:t>乙方所提供的货物应保证是企业原厂生产的产品而不是其他地方生产的、全新的、未使用过的，是原包装未拆封的，是用一流的工艺和最佳材料制造而成的，并完全符合合同规定的质量、规格和性能要求。乙方应保证所提供的货物经正确安装、正常运转和保养，在其使用寿命期内应具有使甲方满意的性能，并且确保一次性通过各项检验和测试。在货物质量保证期内，乙方应对由于设计、工艺、材料和配套件的缺陷所产生的任何不足或故障负责。</w:t>
      </w:r>
    </w:p>
    <w:p w14:paraId="669D1C4B">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14:paraId="09A7C2D6">
      <w:pPr>
        <w:numPr>
          <w:ilvl w:val="1"/>
          <w:numId w:val="40"/>
        </w:numPr>
        <w:tabs>
          <w:tab w:val="clear" w:pos="840"/>
        </w:tabs>
        <w:spacing w:line="400" w:lineRule="exact"/>
        <w:ind w:left="540" w:hanging="540"/>
        <w:rPr>
          <w:rFonts w:ascii="宋体" w:hAnsi="宋体" w:cs="Arial"/>
          <w:b/>
          <w:color w:val="auto"/>
          <w:sz w:val="22"/>
          <w:szCs w:val="22"/>
          <w:highlight w:val="none"/>
        </w:rPr>
      </w:pPr>
      <w:r>
        <w:rPr>
          <w:rFonts w:hint="eastAsia" w:ascii="宋体" w:hAnsi="宋体" w:cs="Arial"/>
          <w:b/>
          <w:color w:val="auto"/>
          <w:sz w:val="22"/>
          <w:szCs w:val="22"/>
          <w:highlight w:val="none"/>
        </w:rPr>
        <w:t>本合同项下货物质量保证期为自货物向甲方移交并通过最终验收之日起</w:t>
      </w:r>
      <w:r>
        <w:rPr>
          <w:rFonts w:hint="eastAsia" w:ascii="宋体" w:hAnsi="宋体" w:cs="Arial"/>
          <w:b/>
          <w:color w:val="auto"/>
          <w:sz w:val="22"/>
          <w:szCs w:val="22"/>
          <w:highlight w:val="none"/>
          <w:lang w:val="en-US" w:eastAsia="zh-CN"/>
        </w:rPr>
        <w:t>36</w:t>
      </w:r>
      <w:r>
        <w:rPr>
          <w:rFonts w:hint="eastAsia" w:ascii="宋体" w:hAnsi="宋体" w:cs="Arial"/>
          <w:b/>
          <w:color w:val="auto"/>
          <w:sz w:val="22"/>
          <w:szCs w:val="22"/>
          <w:highlight w:val="none"/>
        </w:rPr>
        <w:t>个月，货物上标明的质量保证期超过以上规定期限的，以标明的质量保证期为准。</w:t>
      </w:r>
    </w:p>
    <w:p w14:paraId="224E4D13">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交货方式：</w:t>
      </w:r>
    </w:p>
    <w:p w14:paraId="3D950B56">
      <w:pPr>
        <w:spacing w:line="400" w:lineRule="exact"/>
        <w:ind w:left="540"/>
        <w:rPr>
          <w:rFonts w:ascii="宋体" w:hAnsi="宋体"/>
          <w:b/>
          <w:color w:val="auto"/>
          <w:sz w:val="22"/>
          <w:szCs w:val="22"/>
          <w:highlight w:val="none"/>
        </w:rPr>
      </w:pPr>
      <w:r>
        <w:rPr>
          <w:rFonts w:hint="eastAsia" w:ascii="宋体" w:hAnsi="宋体"/>
          <w:b/>
          <w:color w:val="auto"/>
          <w:sz w:val="22"/>
          <w:szCs w:val="22"/>
          <w:highlight w:val="none"/>
        </w:rPr>
        <w:t>至招标人指定地点完成供货、安装。</w:t>
      </w:r>
    </w:p>
    <w:p w14:paraId="4974DA7A">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乙方履约延误</w:t>
      </w:r>
    </w:p>
    <w:p w14:paraId="571872EF">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乙方应按照合同规定的时间交货和提供服务并通过验收。</w:t>
      </w:r>
    </w:p>
    <w:p w14:paraId="1BD48F6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的方式由双方认可。</w:t>
      </w:r>
    </w:p>
    <w:p w14:paraId="0042463C">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除了合同条款中不可抗力的情况外，除甲方同意延误并不收赔偿费外，乙方延误交货或提供服务将按合同条款15条规定被收取误期赔偿费。</w:t>
      </w:r>
    </w:p>
    <w:p w14:paraId="1A5A650C">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所有提供的设备交货、安装、调试及验收都应服从甲方的统一安排。</w:t>
      </w:r>
    </w:p>
    <w:p w14:paraId="491B4C3C">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误期赔偿费</w:t>
      </w:r>
    </w:p>
    <w:p w14:paraId="4F1FB0C9">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除不可抗力外，如果乙方没有按照合同规定的时间交货和提供 服务，甲方应在不影响合同项下的其他补救措施的情况下，从合同价款中扣除误期赔偿费。每延误一天的赔偿费按</w:t>
      </w:r>
      <w:r>
        <w:rPr>
          <w:rFonts w:hint="eastAsia" w:ascii="宋体" w:hAnsi="宋体"/>
          <w:b/>
          <w:color w:val="auto"/>
          <w:sz w:val="22"/>
          <w:szCs w:val="22"/>
          <w:highlight w:val="none"/>
          <w:u w:val="single"/>
        </w:rPr>
        <w:t>合同总额的千分之一（1‰）</w:t>
      </w:r>
      <w:r>
        <w:rPr>
          <w:rFonts w:hint="eastAsia" w:ascii="宋体" w:hAnsi="宋体"/>
          <w:color w:val="auto"/>
          <w:sz w:val="22"/>
          <w:szCs w:val="22"/>
          <w:highlight w:val="none"/>
        </w:rPr>
        <w:t>计收，直至交货或提供服务为止。误期赔偿费最高限额为合同价的百分之五（5%）。一旦延到误期赔偿费的最高限额，甲方可单方解除合同，停止支付合同价款，更换供应商，且</w:t>
      </w:r>
      <w:r>
        <w:rPr>
          <w:rFonts w:hint="eastAsia"/>
          <w:color w:val="auto"/>
          <w:highlight w:val="none"/>
        </w:rPr>
        <w:t>乙方必须退还已支付货款。</w:t>
      </w:r>
    </w:p>
    <w:p w14:paraId="1204F625">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在货物到货后 10 个工作日内，设备安装调试未达到合同规定的性能指标和功能要求的，每超出1天，乙方赔偿给甲方合同总金额的 0.5%。当累计赔偿金额到合同总价的 5%时，甲方有权单方终止全部合同，乙方必须退还全部货款，并承担由此产生的甲方的所有损失。</w:t>
      </w:r>
    </w:p>
    <w:p w14:paraId="5E93CCD9">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不可抗力</w:t>
      </w:r>
    </w:p>
    <w:p w14:paraId="183EB85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45282048">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税费</w:t>
      </w:r>
    </w:p>
    <w:p w14:paraId="69C51BEF">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根据国家现行税法对甲方征收的与本合同有关的一切费用由甲方承担。</w:t>
      </w:r>
    </w:p>
    <w:p w14:paraId="3AA22DF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根据现行税法对乙方征收的与本合同有关的一切税费均由乙方承担。</w:t>
      </w:r>
    </w:p>
    <w:p w14:paraId="26B13F67">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在中国境外发生的与本合同执行有关的一切税费由乙方承担。</w:t>
      </w:r>
    </w:p>
    <w:p w14:paraId="5240C6E5">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违约终止合同</w:t>
      </w:r>
    </w:p>
    <w:p w14:paraId="1C1DDC9A">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甲方在乙方违约的情况下，如果发生下列情况之一，可考虑终止部分或全部合同：</w:t>
      </w:r>
    </w:p>
    <w:p w14:paraId="115CE0BB">
      <w:pPr>
        <w:spacing w:line="400" w:lineRule="exact"/>
        <w:rPr>
          <w:rFonts w:ascii="宋体" w:hAnsi="宋体"/>
          <w:color w:val="auto"/>
          <w:sz w:val="22"/>
          <w:szCs w:val="22"/>
          <w:highlight w:val="none"/>
        </w:rPr>
      </w:pPr>
      <w:r>
        <w:rPr>
          <w:rFonts w:hint="eastAsia" w:ascii="宋体" w:hAnsi="宋体"/>
          <w:color w:val="auto"/>
          <w:sz w:val="22"/>
          <w:szCs w:val="22"/>
          <w:highlight w:val="none"/>
        </w:rPr>
        <w:t>（1） 乙方未能在合同规定的期限内或甲方同意延长的期限内提供全部或部分货物；</w:t>
      </w:r>
    </w:p>
    <w:p w14:paraId="3E3B3C67">
      <w:pPr>
        <w:spacing w:line="400" w:lineRule="exact"/>
        <w:ind w:left="660" w:hanging="660" w:hangingChars="300"/>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pacing w:val="40"/>
          <w:sz w:val="22"/>
          <w:szCs w:val="22"/>
          <w:highlight w:val="none"/>
        </w:rPr>
        <w:t>）</w:t>
      </w:r>
      <w:r>
        <w:rPr>
          <w:rFonts w:hint="eastAsia" w:ascii="宋体" w:hAnsi="宋体"/>
          <w:color w:val="auto"/>
          <w:sz w:val="22"/>
          <w:szCs w:val="22"/>
          <w:highlight w:val="none"/>
        </w:rPr>
        <w:t>乙方未能履行合同规定的任何其他义务。乙方在收到甲方发出的违约通知后30天内，或经甲方书面认可延长的时间内未能纠正其过失。甲方可向乙方发出书面通知，终止部分或合同全部，通知到达乙方时合同即行解除。在这种情况下，并不影响甲方向乙方提出的索赔。</w:t>
      </w:r>
    </w:p>
    <w:p w14:paraId="77D3262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如果甲方根据上述第18.</w:t>
      </w:r>
      <w:r>
        <w:rPr>
          <w:rStyle w:val="73"/>
          <w:rFonts w:hint="eastAsia"/>
          <w:color w:val="auto"/>
          <w:highlight w:val="none"/>
        </w:rPr>
        <w:t>a)</w:t>
      </w:r>
      <w:r>
        <w:rPr>
          <w:rFonts w:hint="eastAsia" w:ascii="宋体" w:hAnsi="宋体"/>
          <w:color w:val="auto"/>
          <w:sz w:val="22"/>
          <w:szCs w:val="22"/>
          <w:highlight w:val="none"/>
        </w:rPr>
        <w:t>条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7F1101ED">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双方责任</w:t>
      </w:r>
    </w:p>
    <w:p w14:paraId="2DED0F0D">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甲方</w:t>
      </w:r>
    </w:p>
    <w:p w14:paraId="2B1056F8">
      <w:pPr>
        <w:spacing w:line="400" w:lineRule="exact"/>
        <w:rPr>
          <w:rFonts w:ascii="宋体" w:hAnsi="宋体"/>
          <w:color w:val="auto"/>
          <w:sz w:val="22"/>
          <w:szCs w:val="22"/>
          <w:highlight w:val="none"/>
        </w:rPr>
      </w:pPr>
      <w:r>
        <w:rPr>
          <w:rFonts w:hint="eastAsia" w:ascii="宋体" w:hAnsi="宋体"/>
          <w:color w:val="auto"/>
          <w:sz w:val="22"/>
          <w:szCs w:val="22"/>
          <w:highlight w:val="none"/>
        </w:rPr>
        <w:t>（1） 按合同规定向乙方支付货款。</w:t>
      </w:r>
    </w:p>
    <w:p w14:paraId="67E45C0D">
      <w:pPr>
        <w:spacing w:line="400" w:lineRule="exact"/>
        <w:rPr>
          <w:rFonts w:ascii="宋体" w:hAnsi="宋体"/>
          <w:color w:val="auto"/>
          <w:sz w:val="22"/>
          <w:szCs w:val="22"/>
          <w:highlight w:val="none"/>
        </w:rPr>
      </w:pPr>
      <w:r>
        <w:rPr>
          <w:rFonts w:hint="eastAsia" w:ascii="宋体" w:hAnsi="宋体"/>
          <w:color w:val="auto"/>
          <w:sz w:val="22"/>
          <w:szCs w:val="22"/>
          <w:highlight w:val="none"/>
        </w:rPr>
        <w:t>（2） 组织对货物的验收。</w:t>
      </w:r>
    </w:p>
    <w:p w14:paraId="04655CD4">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w:t>
      </w:r>
    </w:p>
    <w:p w14:paraId="7F3F10AD">
      <w:pPr>
        <w:spacing w:line="400" w:lineRule="exact"/>
        <w:rPr>
          <w:rFonts w:ascii="宋体" w:hAnsi="宋体"/>
          <w:color w:val="auto"/>
          <w:sz w:val="22"/>
          <w:szCs w:val="22"/>
          <w:highlight w:val="none"/>
        </w:rPr>
      </w:pPr>
      <w:r>
        <w:rPr>
          <w:rFonts w:hint="eastAsia" w:ascii="宋体" w:hAnsi="宋体"/>
          <w:color w:val="auto"/>
          <w:sz w:val="22"/>
          <w:szCs w:val="22"/>
          <w:highlight w:val="none"/>
        </w:rPr>
        <w:t>（1） 按合同要求提供货物和服务。</w:t>
      </w:r>
    </w:p>
    <w:p w14:paraId="3694E333">
      <w:pPr>
        <w:spacing w:line="400" w:lineRule="exact"/>
        <w:rPr>
          <w:rFonts w:ascii="宋体" w:hAnsi="宋体"/>
          <w:color w:val="auto"/>
          <w:sz w:val="22"/>
          <w:szCs w:val="22"/>
          <w:highlight w:val="none"/>
        </w:rPr>
      </w:pPr>
      <w:r>
        <w:rPr>
          <w:rFonts w:hint="eastAsia" w:ascii="宋体" w:hAnsi="宋体"/>
          <w:color w:val="auto"/>
          <w:sz w:val="22"/>
          <w:szCs w:val="22"/>
          <w:highlight w:val="none"/>
        </w:rPr>
        <w:t>（2） 对所提供的货物和服务质量问题无条件负责处理。</w:t>
      </w:r>
    </w:p>
    <w:p w14:paraId="4B240685">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争端的解决</w:t>
      </w:r>
    </w:p>
    <w:p w14:paraId="5455252F">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合同实施或与合同有关的一切争端，甲乙双方应通过友好协商解决，如果协商仍得不到解决，任何一方可向甲方所在地人民法院提起诉讼。</w:t>
      </w:r>
    </w:p>
    <w:p w14:paraId="4BE6E2DB">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转让和分包及产品不可替代</w:t>
      </w:r>
    </w:p>
    <w:p w14:paraId="0E4F545F">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未经甲方事先书面同意，乙方不得部分转让或全部转让和分包其履行合同的义务。</w:t>
      </w:r>
    </w:p>
    <w:p w14:paraId="02596D53">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产品不可替代，乙方在没有取得甲方的书面授权的情况下，不得将合同货物的生产制造转交其他生产厂商或以其他厂商的产品替代。</w:t>
      </w:r>
    </w:p>
    <w:p w14:paraId="0AB781CE">
      <w:pPr>
        <w:numPr>
          <w:ilvl w:val="0"/>
          <w:numId w:val="40"/>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适用法律</w:t>
      </w:r>
    </w:p>
    <w:p w14:paraId="7230952B">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本合同按照中华人民共和国的法律进行解释。</w:t>
      </w:r>
    </w:p>
    <w:p w14:paraId="1949F15A">
      <w:pPr>
        <w:numPr>
          <w:ilvl w:val="0"/>
          <w:numId w:val="40"/>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合同生效及其他</w:t>
      </w:r>
    </w:p>
    <w:p w14:paraId="18D2E3BC">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合同应在双方签字盖章后开始生效。</w:t>
      </w:r>
    </w:p>
    <w:p w14:paraId="0D08EE69">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本合同正本二份，副本二份，甲乙双方各执正本一份副本一份，同等生效。</w:t>
      </w:r>
    </w:p>
    <w:p w14:paraId="08B925F9">
      <w:pPr>
        <w:numPr>
          <w:ilvl w:val="1"/>
          <w:numId w:val="40"/>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如需修改或补充合同内容，经协商，双方应签署书面修改或补充协议，该协议将作为本合同的一个组成部分。</w:t>
      </w:r>
    </w:p>
    <w:p w14:paraId="088BC7AD">
      <w:pPr>
        <w:spacing w:line="440" w:lineRule="exact"/>
        <w:rPr>
          <w:rFonts w:ascii="宋体" w:hAnsi="宋体"/>
          <w:b/>
          <w:color w:val="auto"/>
          <w:sz w:val="22"/>
          <w:szCs w:val="22"/>
          <w:highlight w:val="none"/>
        </w:rPr>
      </w:pPr>
    </w:p>
    <w:p w14:paraId="0EF7F862">
      <w:pPr>
        <w:spacing w:line="440" w:lineRule="exact"/>
        <w:rPr>
          <w:rFonts w:ascii="宋体" w:hAnsi="宋体"/>
          <w:b/>
          <w:color w:val="auto"/>
          <w:sz w:val="22"/>
          <w:szCs w:val="22"/>
          <w:highlight w:val="none"/>
        </w:rPr>
      </w:pPr>
      <w:r>
        <w:rPr>
          <w:rFonts w:hint="eastAsia" w:ascii="宋体" w:hAnsi="宋体"/>
          <w:b/>
          <w:color w:val="auto"/>
          <w:sz w:val="22"/>
          <w:szCs w:val="22"/>
          <w:highlight w:val="none"/>
        </w:rPr>
        <w:t>下列文件构成本合同的组成部分，并按顺序依次享有优先解释权：</w:t>
      </w:r>
    </w:p>
    <w:p w14:paraId="142DBA1B">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（1）合同补充条款或说明（如有）             （2）本合同</w:t>
      </w:r>
    </w:p>
    <w:p w14:paraId="5C955805">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（3）售后服务协议                           （4）投标澄清或承诺书（如有）</w:t>
      </w:r>
    </w:p>
    <w:p w14:paraId="6193B6A1">
      <w:pPr>
        <w:snapToGrid w:val="0"/>
        <w:spacing w:line="40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 xml:space="preserve">       (5）投标文件                               （6）招标文件         </w:t>
      </w:r>
    </w:p>
    <w:p w14:paraId="78E6DDDA">
      <w:pPr>
        <w:snapToGrid w:val="0"/>
        <w:spacing w:line="40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14:paraId="3D1F3CF9">
      <w:pPr>
        <w:spacing w:line="400" w:lineRule="exact"/>
        <w:rPr>
          <w:rFonts w:ascii="宋体" w:hAnsi="宋体"/>
          <w:color w:val="auto"/>
          <w:sz w:val="22"/>
          <w:szCs w:val="22"/>
          <w:highlight w:val="none"/>
        </w:rPr>
      </w:pPr>
    </w:p>
    <w:p w14:paraId="34E42E08">
      <w:pPr>
        <w:pStyle w:val="34"/>
        <w:tabs>
          <w:tab w:val="left" w:pos="7935"/>
        </w:tabs>
        <w:snapToGrid w:val="0"/>
        <w:spacing w:line="40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54034422">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（盖章）                                              （盖章）</w:t>
      </w:r>
    </w:p>
    <w:p w14:paraId="33C2064B">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0BF10471">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地址：                                                 地址：</w:t>
      </w:r>
    </w:p>
    <w:p w14:paraId="4FBC4680">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电话：                                                 电话：</w:t>
      </w:r>
    </w:p>
    <w:p w14:paraId="501881C2">
      <w:pPr>
        <w:pStyle w:val="34"/>
        <w:snapToGrid w:val="0"/>
        <w:spacing w:line="40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6434FB80">
      <w:pPr>
        <w:spacing w:line="40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4A2AC171">
      <w:pPr>
        <w:spacing w:line="400" w:lineRule="exact"/>
        <w:rPr>
          <w:rFonts w:ascii="宋体" w:hAnsi="宋体" w:cs="Arial"/>
          <w:color w:val="auto"/>
          <w:sz w:val="22"/>
          <w:szCs w:val="22"/>
          <w:highlight w:val="none"/>
        </w:rPr>
      </w:pPr>
    </w:p>
    <w:p w14:paraId="0DAEEFA1">
      <w:pPr>
        <w:snapToGrid w:val="0"/>
        <w:spacing w:line="360" w:lineRule="auto"/>
        <w:jc w:val="left"/>
        <w:rPr>
          <w:rFonts w:ascii="宋体" w:hAnsi="宋体" w:cs="Arial"/>
          <w:color w:val="auto"/>
          <w:sz w:val="22"/>
          <w:szCs w:val="22"/>
          <w:highlight w:val="none"/>
        </w:rPr>
      </w:pPr>
      <w:r>
        <w:rPr>
          <w:rFonts w:hint="eastAsia" w:ascii="仿宋_GB2312" w:hAnsi="宋体"/>
          <w:b/>
          <w:bCs/>
          <w:color w:val="auto"/>
          <w:sz w:val="24"/>
          <w:highlight w:val="none"/>
          <w:u w:val="single"/>
        </w:rPr>
        <w:t>注：本合同作为示范文本，具体以中标人与招标人所签定正式合同为准。</w:t>
      </w:r>
    </w:p>
    <w:p w14:paraId="1C69612C">
      <w:pPr>
        <w:rPr>
          <w:rFonts w:ascii="宋体" w:hAnsi="宋体" w:cs="Arial"/>
          <w:color w:val="auto"/>
          <w:sz w:val="22"/>
          <w:szCs w:val="22"/>
          <w:highlight w:val="none"/>
        </w:rPr>
      </w:pPr>
      <w:r>
        <w:rPr>
          <w:rFonts w:ascii="宋体" w:hAnsi="宋体" w:cs="Arial"/>
          <w:color w:val="auto"/>
          <w:sz w:val="22"/>
          <w:szCs w:val="22"/>
          <w:highlight w:val="none"/>
        </w:rPr>
        <w:br w:type="page"/>
      </w:r>
      <w:bookmarkStart w:id="224" w:name="_Toc239145361"/>
      <w:bookmarkStart w:id="225" w:name="_Toc249758872"/>
      <w:bookmarkStart w:id="226" w:name="_Toc249758722"/>
      <w:bookmarkStart w:id="227" w:name="_Toc262105511"/>
      <w:bookmarkStart w:id="228" w:name="_Toc223716005"/>
      <w:bookmarkStart w:id="229" w:name="_Toc246261272"/>
      <w:bookmarkStart w:id="230" w:name="_Toc222114886"/>
      <w:bookmarkStart w:id="231" w:name="_Toc245191321"/>
      <w:bookmarkStart w:id="232" w:name="_Toc221423626"/>
      <w:bookmarkStart w:id="233" w:name="_Toc245722288"/>
      <w:bookmarkStart w:id="234" w:name="_Toc241404209"/>
      <w:bookmarkStart w:id="235" w:name="_Toc262049426"/>
    </w:p>
    <w:p w14:paraId="78AE3322">
      <w:pPr>
        <w:spacing w:line="440" w:lineRule="exact"/>
        <w:ind w:firstLine="440" w:firstLineChars="200"/>
        <w:rPr>
          <w:rFonts w:ascii="宋体" w:hAnsi="宋体" w:cs="Arial"/>
          <w:color w:val="auto"/>
          <w:sz w:val="22"/>
          <w:szCs w:val="22"/>
          <w:highlight w:val="none"/>
        </w:rPr>
      </w:pPr>
    </w:p>
    <w:p w14:paraId="06062EC7">
      <w:pPr>
        <w:pStyle w:val="3"/>
        <w:rPr>
          <w:rFonts w:ascii="宋体" w:hAnsi="宋体" w:eastAsia="宋体" w:cs="Arial"/>
          <w:color w:val="auto"/>
          <w:sz w:val="36"/>
          <w:szCs w:val="36"/>
          <w:highlight w:val="none"/>
        </w:rPr>
      </w:pPr>
      <w:bookmarkStart w:id="236" w:name="_Toc9209"/>
      <w:r>
        <w:rPr>
          <w:rFonts w:hint="eastAsia" w:ascii="宋体" w:hAnsi="宋体" w:eastAsia="宋体" w:cs="Arial"/>
          <w:color w:val="auto"/>
          <w:sz w:val="36"/>
          <w:szCs w:val="36"/>
          <w:highlight w:val="none"/>
        </w:rPr>
        <w:t xml:space="preserve">第五部分   </w:t>
      </w:r>
      <w:bookmarkEnd w:id="220"/>
      <w:bookmarkEnd w:id="221"/>
      <w:bookmarkEnd w:id="222"/>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Arial"/>
          <w:color w:val="auto"/>
          <w:sz w:val="36"/>
          <w:szCs w:val="36"/>
          <w:highlight w:val="none"/>
        </w:rPr>
        <w:t>附件</w:t>
      </w:r>
      <w:bookmarkEnd w:id="236"/>
    </w:p>
    <w:p w14:paraId="6EB96C9D">
      <w:pPr>
        <w:rPr>
          <w:rFonts w:ascii="宋体" w:hAnsi="宋体"/>
          <w:color w:val="auto"/>
          <w:highlight w:val="none"/>
        </w:rPr>
      </w:pPr>
    </w:p>
    <w:p w14:paraId="3E2747D3">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65853171">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w:t>
      </w:r>
      <w:r>
        <w:rPr>
          <w:rFonts w:hint="eastAsia" w:ascii="宋体" w:hAnsi="宋体" w:cs="仿宋"/>
          <w:b/>
          <w:bCs/>
          <w:color w:val="auto"/>
          <w:sz w:val="28"/>
          <w:szCs w:val="28"/>
          <w:highlight w:val="none"/>
          <w:lang w:eastAsia="zh-CN"/>
        </w:rPr>
        <w:t>查材</w:t>
      </w:r>
      <w:r>
        <w:rPr>
          <w:rFonts w:hint="eastAsia" w:ascii="宋体" w:hAnsi="宋体" w:cs="仿宋"/>
          <w:b/>
          <w:bCs/>
          <w:color w:val="auto"/>
          <w:sz w:val="28"/>
          <w:szCs w:val="28"/>
          <w:highlight w:val="none"/>
        </w:rPr>
        <w:t>料</w:t>
      </w:r>
    </w:p>
    <w:p w14:paraId="1AAD2FF9">
      <w:pPr>
        <w:spacing w:line="460" w:lineRule="exact"/>
        <w:jc w:val="center"/>
        <w:rPr>
          <w:rFonts w:ascii="宋体" w:hAnsi="宋体" w:cs="仿宋"/>
          <w:color w:val="auto"/>
          <w:sz w:val="28"/>
          <w:szCs w:val="28"/>
          <w:highlight w:val="none"/>
        </w:rPr>
      </w:pPr>
    </w:p>
    <w:p w14:paraId="64133B44">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23EFC49E">
      <w:pPr>
        <w:spacing w:line="400" w:lineRule="exact"/>
        <w:rPr>
          <w:rFonts w:ascii="宋体" w:hAnsi="宋体"/>
          <w:color w:val="auto"/>
          <w:highlight w:val="none"/>
        </w:rPr>
      </w:pPr>
    </w:p>
    <w:p w14:paraId="4BA619B1">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6565D6E5">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6EA53DEA">
      <w:pPr>
        <w:spacing w:line="460" w:lineRule="exact"/>
        <w:rPr>
          <w:rFonts w:ascii="宋体" w:hAnsi="宋体"/>
          <w:color w:val="auto"/>
          <w:sz w:val="22"/>
          <w:szCs w:val="22"/>
          <w:highlight w:val="none"/>
          <w:u w:val="single"/>
        </w:rPr>
      </w:pPr>
    </w:p>
    <w:p w14:paraId="590402A5">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11C4C6E3">
      <w:pPr>
        <w:spacing w:line="400" w:lineRule="exact"/>
        <w:rPr>
          <w:rFonts w:ascii="宋体" w:hAnsi="宋体"/>
          <w:color w:val="auto"/>
          <w:highlight w:val="none"/>
        </w:rPr>
      </w:pPr>
    </w:p>
    <w:p w14:paraId="0F685E6B">
      <w:pPr>
        <w:spacing w:line="400" w:lineRule="exact"/>
        <w:rPr>
          <w:rFonts w:ascii="宋体" w:hAnsi="宋体"/>
          <w:color w:val="auto"/>
          <w:highlight w:val="none"/>
        </w:rPr>
      </w:pPr>
    </w:p>
    <w:p w14:paraId="450CC879">
      <w:pPr>
        <w:spacing w:line="400" w:lineRule="exact"/>
        <w:rPr>
          <w:rFonts w:ascii="宋体" w:hAnsi="宋体"/>
          <w:color w:val="auto"/>
          <w:highlight w:val="none"/>
        </w:rPr>
      </w:pPr>
    </w:p>
    <w:p w14:paraId="5B4EABED">
      <w:pPr>
        <w:spacing w:line="460" w:lineRule="exact"/>
        <w:ind w:firstLine="3971" w:firstLineChars="1805"/>
        <w:rPr>
          <w:rFonts w:ascii="宋体" w:hAnsi="宋体"/>
          <w:color w:val="auto"/>
          <w:sz w:val="22"/>
          <w:szCs w:val="22"/>
          <w:highlight w:val="none"/>
        </w:rPr>
      </w:pPr>
    </w:p>
    <w:p w14:paraId="6E809EDD">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15136D6D">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034D2B91">
      <w:pPr>
        <w:spacing w:line="460" w:lineRule="exact"/>
        <w:rPr>
          <w:rFonts w:ascii="宋体" w:hAnsi="宋体"/>
          <w:color w:val="auto"/>
          <w:sz w:val="22"/>
          <w:szCs w:val="22"/>
          <w:highlight w:val="none"/>
        </w:rPr>
      </w:pPr>
    </w:p>
    <w:p w14:paraId="04C191DB">
      <w:pPr>
        <w:widowControl/>
        <w:jc w:val="left"/>
        <w:rPr>
          <w:rFonts w:ascii="Arial" w:hAnsi="Arial" w:cs="Arial"/>
          <w:color w:val="auto"/>
          <w:szCs w:val="21"/>
          <w:highlight w:val="none"/>
        </w:rPr>
      </w:pPr>
    </w:p>
    <w:p w14:paraId="18C20BDD">
      <w:pPr>
        <w:widowControl/>
        <w:jc w:val="left"/>
        <w:rPr>
          <w:rFonts w:ascii="Arial" w:hAnsi="Arial" w:cs="Arial"/>
          <w:color w:val="auto"/>
          <w:szCs w:val="21"/>
          <w:highlight w:val="none"/>
        </w:rPr>
      </w:pPr>
    </w:p>
    <w:p w14:paraId="1C2EBE4B">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14:paraId="3688B598">
      <w:pPr>
        <w:spacing w:line="360" w:lineRule="exact"/>
        <w:rPr>
          <w:rFonts w:ascii="Arial" w:hAnsi="Arial" w:cs="Arial"/>
          <w:color w:val="auto"/>
          <w:szCs w:val="21"/>
          <w:highlight w:val="none"/>
        </w:rPr>
      </w:pPr>
    </w:p>
    <w:p w14:paraId="044C984C">
      <w:pPr>
        <w:spacing w:line="380" w:lineRule="exact"/>
        <w:jc w:val="center"/>
        <w:rPr>
          <w:rFonts w:ascii="宋体" w:hAnsi="宋体" w:cs="仿宋"/>
          <w:b/>
          <w:color w:val="auto"/>
          <w:sz w:val="22"/>
          <w:szCs w:val="22"/>
          <w:highlight w:val="none"/>
        </w:rPr>
      </w:pPr>
    </w:p>
    <w:p w14:paraId="5AE722C9">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70A9BD10">
      <w:pPr>
        <w:spacing w:line="400" w:lineRule="exact"/>
        <w:jc w:val="center"/>
        <w:rPr>
          <w:rFonts w:ascii="宋体" w:hAnsi="宋体"/>
          <w:b/>
          <w:bCs/>
          <w:color w:val="auto"/>
          <w:sz w:val="28"/>
          <w:szCs w:val="28"/>
          <w:highlight w:val="none"/>
        </w:rPr>
      </w:pPr>
    </w:p>
    <w:p w14:paraId="57690437">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0ECE393D">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9675A97">
      <w:pPr>
        <w:spacing w:line="460" w:lineRule="exact"/>
        <w:rPr>
          <w:rFonts w:ascii="宋体" w:hAnsi="宋体"/>
          <w:color w:val="auto"/>
          <w:sz w:val="22"/>
          <w:szCs w:val="22"/>
          <w:highlight w:val="none"/>
          <w:u w:val="single"/>
        </w:rPr>
      </w:pPr>
    </w:p>
    <w:p w14:paraId="607DB03A">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37A39498">
      <w:pPr>
        <w:spacing w:line="460" w:lineRule="exact"/>
        <w:ind w:firstLine="220" w:firstLineChars="100"/>
        <w:rPr>
          <w:rFonts w:ascii="宋体" w:hAnsi="宋体"/>
          <w:color w:val="auto"/>
          <w:sz w:val="22"/>
          <w:szCs w:val="22"/>
          <w:highlight w:val="none"/>
        </w:rPr>
      </w:pPr>
    </w:p>
    <w:p w14:paraId="7A64D344">
      <w:pPr>
        <w:spacing w:line="460" w:lineRule="exact"/>
        <w:ind w:firstLine="550" w:firstLineChars="250"/>
        <w:rPr>
          <w:rFonts w:ascii="宋体" w:hAnsi="宋体"/>
          <w:color w:val="auto"/>
          <w:sz w:val="22"/>
          <w:szCs w:val="22"/>
          <w:highlight w:val="none"/>
        </w:rPr>
      </w:pPr>
    </w:p>
    <w:p w14:paraId="79A0891E">
      <w:pPr>
        <w:spacing w:line="460" w:lineRule="exact"/>
        <w:ind w:firstLine="2955"/>
        <w:rPr>
          <w:rFonts w:ascii="宋体" w:hAnsi="宋体"/>
          <w:color w:val="auto"/>
          <w:sz w:val="22"/>
          <w:szCs w:val="22"/>
          <w:highlight w:val="none"/>
        </w:rPr>
      </w:pPr>
    </w:p>
    <w:p w14:paraId="21E6F897">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6D2DD39C">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14FA7DEE">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728C67F5">
      <w:pPr>
        <w:spacing w:line="460" w:lineRule="exact"/>
        <w:rPr>
          <w:rFonts w:ascii="宋体" w:hAnsi="宋体"/>
          <w:color w:val="auto"/>
          <w:sz w:val="22"/>
          <w:szCs w:val="22"/>
          <w:highlight w:val="none"/>
        </w:rPr>
      </w:pPr>
    </w:p>
    <w:p w14:paraId="15042B40">
      <w:pPr>
        <w:spacing w:line="460" w:lineRule="exact"/>
        <w:rPr>
          <w:rFonts w:ascii="宋体" w:hAnsi="宋体"/>
          <w:color w:val="auto"/>
          <w:sz w:val="22"/>
          <w:szCs w:val="22"/>
          <w:highlight w:val="none"/>
        </w:rPr>
      </w:pPr>
    </w:p>
    <w:p w14:paraId="4110D76D">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14:paraId="23A7DD81">
      <w:pPr>
        <w:widowControl/>
        <w:jc w:val="left"/>
        <w:rPr>
          <w:rFonts w:ascii="宋体" w:hAnsi="宋体"/>
          <w:b/>
          <w:bCs/>
          <w:color w:val="auto"/>
          <w:highlight w:val="none"/>
        </w:rPr>
      </w:pPr>
    </w:p>
    <w:p w14:paraId="4BA6E963">
      <w:pPr>
        <w:widowControl/>
        <w:jc w:val="left"/>
        <w:rPr>
          <w:rFonts w:ascii="宋体" w:hAnsi="宋体"/>
          <w:b/>
          <w:bCs/>
          <w:color w:val="auto"/>
          <w:highlight w:val="none"/>
        </w:rPr>
      </w:pPr>
    </w:p>
    <w:p w14:paraId="30F52C9E">
      <w:pPr>
        <w:widowControl/>
        <w:jc w:val="left"/>
        <w:rPr>
          <w:rFonts w:ascii="宋体" w:hAnsi="宋体"/>
          <w:b/>
          <w:bCs/>
          <w:color w:val="auto"/>
          <w:highlight w:val="none"/>
        </w:rPr>
      </w:pPr>
    </w:p>
    <w:p w14:paraId="1FA03220">
      <w:pPr>
        <w:widowControl/>
        <w:jc w:val="left"/>
        <w:rPr>
          <w:rFonts w:ascii="宋体" w:hAnsi="宋体"/>
          <w:b/>
          <w:bCs/>
          <w:color w:val="auto"/>
          <w:highlight w:val="none"/>
        </w:rPr>
      </w:pPr>
    </w:p>
    <w:p w14:paraId="0317BB51">
      <w:pPr>
        <w:widowControl/>
        <w:jc w:val="left"/>
        <w:rPr>
          <w:rFonts w:ascii="宋体" w:hAnsi="宋体"/>
          <w:b/>
          <w:bCs/>
          <w:color w:val="auto"/>
          <w:highlight w:val="none"/>
        </w:rPr>
      </w:pPr>
    </w:p>
    <w:p w14:paraId="361E30D0">
      <w:pPr>
        <w:widowControl/>
        <w:jc w:val="left"/>
        <w:rPr>
          <w:rFonts w:ascii="宋体" w:hAnsi="宋体"/>
          <w:b/>
          <w:bCs/>
          <w:color w:val="auto"/>
          <w:highlight w:val="none"/>
        </w:rPr>
      </w:pPr>
    </w:p>
    <w:p w14:paraId="6499BADB">
      <w:pPr>
        <w:widowControl/>
        <w:jc w:val="left"/>
        <w:rPr>
          <w:rFonts w:ascii="宋体" w:hAnsi="宋体"/>
          <w:b/>
          <w:bCs/>
          <w:color w:val="auto"/>
          <w:highlight w:val="none"/>
        </w:rPr>
      </w:pPr>
    </w:p>
    <w:p w14:paraId="611128EB">
      <w:pPr>
        <w:widowControl/>
        <w:jc w:val="left"/>
        <w:rPr>
          <w:rFonts w:ascii="宋体" w:hAnsi="宋体"/>
          <w:b/>
          <w:bCs/>
          <w:color w:val="auto"/>
          <w:highlight w:val="none"/>
        </w:rPr>
      </w:pPr>
    </w:p>
    <w:p w14:paraId="36FCB5C7">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26371670">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14:paraId="7C24D843">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14:paraId="3370FCD5">
      <w:pPr>
        <w:spacing w:line="460" w:lineRule="exact"/>
        <w:rPr>
          <w:rFonts w:ascii="宋体" w:hAnsi="宋体"/>
          <w:color w:val="auto"/>
          <w:sz w:val="22"/>
          <w:szCs w:val="22"/>
          <w:highlight w:val="none"/>
        </w:rPr>
      </w:pPr>
    </w:p>
    <w:p w14:paraId="55A05BAA">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3A47E302">
      <w:pPr>
        <w:spacing w:line="380" w:lineRule="exact"/>
        <w:jc w:val="center"/>
        <w:rPr>
          <w:rFonts w:ascii="宋体" w:hAnsi="宋体"/>
          <w:b/>
          <w:bCs/>
          <w:color w:val="auto"/>
          <w:sz w:val="32"/>
          <w:highlight w:val="none"/>
        </w:rPr>
      </w:pPr>
    </w:p>
    <w:p w14:paraId="7853911D">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）投标供应商参与采购活动投标资格声明函</w:t>
      </w:r>
    </w:p>
    <w:p w14:paraId="47C6CF4F">
      <w:pPr>
        <w:widowControl/>
        <w:adjustRightInd w:val="0"/>
        <w:snapToGrid w:val="0"/>
        <w:spacing w:line="360" w:lineRule="auto"/>
        <w:jc w:val="left"/>
        <w:rPr>
          <w:rFonts w:ascii="宋体" w:hAnsi="宋体" w:cs="新宋体"/>
          <w:color w:val="auto"/>
          <w:kern w:val="0"/>
          <w:sz w:val="22"/>
          <w:szCs w:val="22"/>
          <w:highlight w:val="none"/>
        </w:rPr>
      </w:pPr>
    </w:p>
    <w:p w14:paraId="37933E09">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温州肯恩大学</w:t>
      </w:r>
      <w:r>
        <w:rPr>
          <w:rFonts w:hint="eastAsia" w:ascii="宋体" w:hAnsi="宋体" w:cs="宋体"/>
          <w:color w:val="auto"/>
          <w:kern w:val="0"/>
          <w:sz w:val="22"/>
          <w:szCs w:val="22"/>
          <w:highlight w:val="none"/>
        </w:rPr>
        <w:t>：</w:t>
      </w:r>
    </w:p>
    <w:p w14:paraId="6E334ED6">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温州元信工程项目管理有限公司：</w:t>
      </w:r>
    </w:p>
    <w:p w14:paraId="76D2D6DD">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14:paraId="3409CADC">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096BD7E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4A166AF7">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208AAC18">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4、我单位具有履行本项目采购合同所必需的设备和专业技术能力。</w:t>
      </w:r>
    </w:p>
    <w:p w14:paraId="523AFB5A">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6B2BD85">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6、我单位未与单位负责人为同一人或者存在直接控股、管理关系的其他供应商，一起参加本项目的采购活动。</w:t>
      </w:r>
    </w:p>
    <w:p w14:paraId="4045A5D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的要求，并在响应文件中提供了相应的证明材料（采购文件没有要求特定资格条件的，本条款空格处可以空白）</w:t>
      </w:r>
    </w:p>
    <w:p w14:paraId="5B4F0F79">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8、</w:t>
      </w:r>
      <w:r>
        <w:rPr>
          <w:rFonts w:hint="eastAsia" w:ascii="新宋体" w:hAnsi="新宋体" w:eastAsia="新宋体" w:cs="新宋体"/>
          <w:color w:val="auto"/>
          <w:kern w:val="0"/>
          <w:sz w:val="22"/>
          <w:szCs w:val="22"/>
          <w:highlight w:val="none"/>
        </w:rPr>
        <w:t>我单位此次参与本</w:t>
      </w:r>
      <w:r>
        <w:rPr>
          <w:rFonts w:hint="eastAsia" w:ascii="宋体" w:hAnsi="宋体" w:cs="宋体"/>
          <w:color w:val="auto"/>
          <w:sz w:val="22"/>
          <w:szCs w:val="22"/>
          <w:highlight w:val="none"/>
        </w:rPr>
        <w:t>项目</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14A3BB1F">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07422F6F">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7D93D39A">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47FDD510">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06F0DD9C">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2D649274">
      <w:pPr>
        <w:pStyle w:val="24"/>
        <w:rPr>
          <w:color w:val="auto"/>
          <w:highlight w:val="none"/>
        </w:rPr>
      </w:pPr>
    </w:p>
    <w:p w14:paraId="1B6B3F1E">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2F7BCD17">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06C56EA7">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2FD8DEEE">
      <w:pPr>
        <w:pStyle w:val="24"/>
        <w:rPr>
          <w:color w:val="auto"/>
          <w:highlight w:val="none"/>
        </w:rPr>
      </w:pPr>
    </w:p>
    <w:p w14:paraId="41C754A1">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6B25B2F6">
      <w:pPr>
        <w:pStyle w:val="34"/>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14:paraId="731B541D">
      <w:pPr>
        <w:ind w:right="-153" w:rightChars="-73"/>
        <w:jc w:val="center"/>
        <w:rPr>
          <w:rFonts w:ascii="宋体" w:hAnsi="宋体"/>
          <w:color w:val="auto"/>
          <w:sz w:val="22"/>
          <w:szCs w:val="22"/>
          <w:highlight w:val="none"/>
        </w:rPr>
      </w:pPr>
    </w:p>
    <w:p w14:paraId="1EAB8DED">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09B8AF51">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33BE7747">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16874BB4">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14:paraId="1E070636">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14:paraId="1A486C3F">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6BC4453D">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1B2219A">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不向采购人及个人购置或提供通讯工具、交通工具和高档办公用品等。</w:t>
      </w:r>
    </w:p>
    <w:p w14:paraId="78C9F398">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14:paraId="6B4669DE">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14:paraId="65F23B5F">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763DACF4">
      <w:pPr>
        <w:numPr>
          <w:ilvl w:val="0"/>
          <w:numId w:val="4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6023CABD">
      <w:pPr>
        <w:snapToGrid w:val="0"/>
        <w:spacing w:line="500" w:lineRule="exact"/>
        <w:ind w:firstLine="385" w:firstLineChars="175"/>
        <w:rPr>
          <w:rFonts w:ascii="宋体" w:hAnsi="宋体"/>
          <w:color w:val="auto"/>
          <w:sz w:val="22"/>
          <w:szCs w:val="22"/>
          <w:highlight w:val="none"/>
        </w:rPr>
      </w:pPr>
    </w:p>
    <w:p w14:paraId="7B601E58">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108E8114">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000F1207">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29125E0B">
      <w:pPr>
        <w:rPr>
          <w:rFonts w:ascii="宋体"/>
          <w:b/>
          <w:bCs/>
          <w:color w:val="auto"/>
          <w:sz w:val="22"/>
          <w:szCs w:val="22"/>
          <w:highlight w:val="none"/>
        </w:rPr>
      </w:pPr>
      <w:r>
        <w:rPr>
          <w:rFonts w:ascii="宋体"/>
          <w:b/>
          <w:bCs/>
          <w:color w:val="auto"/>
          <w:sz w:val="22"/>
          <w:szCs w:val="22"/>
          <w:highlight w:val="none"/>
        </w:rPr>
        <w:br w:type="page"/>
      </w:r>
    </w:p>
    <w:p w14:paraId="6D58649A">
      <w:pPr>
        <w:pStyle w:val="75"/>
        <w:rPr>
          <w:rFonts w:ascii="宋体" w:hAnsi="宋体" w:cs="宋体"/>
          <w:color w:val="auto"/>
          <w:sz w:val="22"/>
          <w:szCs w:val="22"/>
          <w:highlight w:val="none"/>
        </w:rPr>
      </w:pPr>
    </w:p>
    <w:p w14:paraId="7EED4760">
      <w:pPr>
        <w:pStyle w:val="34"/>
        <w:snapToGrid w:val="0"/>
        <w:spacing w:line="324" w:lineRule="auto"/>
        <w:jc w:val="center"/>
        <w:rPr>
          <w:rFonts w:hAnsi="宋体" w:cs="宋体"/>
          <w:b/>
          <w:bCs/>
          <w:color w:val="auto"/>
          <w:sz w:val="22"/>
          <w:szCs w:val="22"/>
          <w:highlight w:val="none"/>
        </w:rPr>
      </w:pPr>
      <w:r>
        <w:rPr>
          <w:rFonts w:hint="eastAsia" w:hAnsi="宋体" w:cs="宋体"/>
          <w:b/>
          <w:bCs/>
          <w:color w:val="auto"/>
          <w:sz w:val="22"/>
          <w:szCs w:val="22"/>
          <w:highlight w:val="none"/>
        </w:rPr>
        <w:t>（4）联合体协议书</w:t>
      </w:r>
    </w:p>
    <w:p w14:paraId="703798AD">
      <w:pPr>
        <w:pStyle w:val="2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（适用于联合体）</w:t>
      </w:r>
    </w:p>
    <w:p w14:paraId="3A7BA818">
      <w:pPr>
        <w:pStyle w:val="25"/>
        <w:ind w:firstLine="220"/>
        <w:rPr>
          <w:rFonts w:ascii="宋体" w:hAnsi="宋体" w:cs="宋体"/>
          <w:color w:val="auto"/>
          <w:sz w:val="22"/>
          <w:szCs w:val="22"/>
          <w:highlight w:val="none"/>
        </w:rPr>
      </w:pPr>
    </w:p>
    <w:p w14:paraId="21D00593">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（所有成员单位名称）    </w:t>
      </w:r>
      <w:r>
        <w:rPr>
          <w:rFonts w:hint="eastAsia" w:ascii="宋体" w:hAnsi="宋体" w:cs="宋体"/>
          <w:color w:val="auto"/>
          <w:sz w:val="22"/>
          <w:szCs w:val="22"/>
          <w:highlight w:val="none"/>
        </w:rPr>
        <w:t>自愿组成联合体，参加</w:t>
      </w:r>
      <w:r>
        <w:rPr>
          <w:rFonts w:hint="eastAsia" w:ascii="宋体" w:hAnsi="宋体" w:cs="宋体"/>
          <w:color w:val="auto"/>
          <w:sz w:val="22"/>
          <w:szCs w:val="22"/>
          <w:highlight w:val="none"/>
          <w:u w:val="single"/>
        </w:rPr>
        <w:t xml:space="preserve">      （项目名称）</w:t>
      </w:r>
      <w:r>
        <w:rPr>
          <w:rFonts w:hint="eastAsia" w:ascii="宋体" w:hAnsi="宋体" w:cs="宋体"/>
          <w:color w:val="auto"/>
          <w:sz w:val="22"/>
          <w:szCs w:val="22"/>
          <w:highlight w:val="none"/>
        </w:rPr>
        <w:t>投标。现就有关事宜订立协议如下：</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为联合体牵头人，</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微型企业）</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为联合体成员，</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微型企业）</w:t>
      </w:r>
      <w:r>
        <w:rPr>
          <w:rFonts w:hint="eastAsia" w:ascii="宋体" w:hAnsi="宋体" w:cs="宋体"/>
          <w:color w:val="auto"/>
          <w:sz w:val="22"/>
          <w:szCs w:val="22"/>
          <w:highlight w:val="none"/>
        </w:rPr>
        <w:t>；</w:t>
      </w:r>
    </w:p>
    <w:p w14:paraId="5C8F53BA">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2．联合体内部有关事项规定如下：</w:t>
      </w:r>
    </w:p>
    <w:p w14:paraId="3E1046EA">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（1）联合体由牵头人负责与业主联系；</w:t>
      </w:r>
    </w:p>
    <w:p w14:paraId="509BCDD5">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（2）投标工作由联合体牵头人负责，由双方组成的投标小组具体实施；联合体牵头人负责对投标文件进行签字或盖章；</w:t>
      </w:r>
    </w:p>
    <w:p w14:paraId="1982895C">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（3）联合体将严格按照招标文件的各项要求，递交投标文件，切实执行一切合同文件，共同承担合同规定的一切义务和责任，同时按照内部职责的划分，承担自身所负的责任和风险；</w:t>
      </w:r>
    </w:p>
    <w:p w14:paraId="690BBBD0">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（4）联合体各成员单位内部的职责分工如下：</w:t>
      </w:r>
      <w:r>
        <w:rPr>
          <w:rFonts w:hint="eastAsia" w:ascii="宋体" w:hAnsi="宋体" w:cs="宋体"/>
          <w:color w:val="auto"/>
          <w:sz w:val="22"/>
          <w:szCs w:val="22"/>
          <w:highlight w:val="none"/>
          <w:u w:val="single"/>
        </w:rPr>
        <w:t xml:space="preserve">                                    </w:t>
      </w:r>
    </w:p>
    <w:p w14:paraId="5EE25B2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（5）联合体各成员约定</w:t>
      </w:r>
      <w:r>
        <w:rPr>
          <w:rFonts w:hint="eastAsia" w:ascii="宋体" w:hAnsi="宋体" w:cs="宋体"/>
          <w:color w:val="auto"/>
          <w:sz w:val="22"/>
          <w:szCs w:val="22"/>
          <w:highlight w:val="none"/>
          <w:u w:val="single"/>
        </w:rPr>
        <w:t xml:space="preserve">     （联合体成员）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zh-CN"/>
        </w:rPr>
        <w:t>合同份额占到合同总金额</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44FDDD64">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（6）投标工作和联合体在中标后工程实施过程中的有关费用按各自承担的工作量分摊。</w:t>
      </w:r>
    </w:p>
    <w:p w14:paraId="7CBF35C6">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3．本协议书自签署之日起生效，合同履行完毕后自动失效。</w:t>
      </w:r>
    </w:p>
    <w:p w14:paraId="568F2E6F">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p>
    <w:p w14:paraId="48ACEA67">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联合体牵头人名称（盖章）：       </w:t>
      </w:r>
    </w:p>
    <w:p w14:paraId="4CB7FE0B">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3C66215C">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auto"/>
          <w:sz w:val="22"/>
          <w:szCs w:val="22"/>
          <w:highlight w:val="none"/>
        </w:rPr>
      </w:pPr>
    </w:p>
    <w:p w14:paraId="52392FDA">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联合体成员名称（盖章）：</w:t>
      </w:r>
    </w:p>
    <w:p w14:paraId="6BD6EDF6">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p>
    <w:p w14:paraId="57559068">
      <w:pPr>
        <w:tabs>
          <w:tab w:val="left" w:pos="482"/>
          <w:tab w:val="left" w:pos="2183"/>
          <w:tab w:val="left" w:pos="3884"/>
          <w:tab w:val="left" w:pos="5585"/>
        </w:tabs>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法定代表人（签字或盖章）</w:t>
      </w:r>
    </w:p>
    <w:p w14:paraId="43D645F7">
      <w:pPr>
        <w:tabs>
          <w:tab w:val="left" w:pos="482"/>
          <w:tab w:val="left" w:pos="2183"/>
          <w:tab w:val="left" w:pos="3884"/>
          <w:tab w:val="left" w:pos="5585"/>
        </w:tabs>
        <w:jc w:val="left"/>
        <w:rPr>
          <w:rFonts w:ascii="宋体" w:hAnsi="宋体" w:cs="宋体"/>
          <w:color w:val="auto"/>
          <w:sz w:val="22"/>
          <w:szCs w:val="22"/>
          <w:highlight w:val="none"/>
        </w:rPr>
      </w:pPr>
    </w:p>
    <w:p w14:paraId="526171FD">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14:paraId="2E8872A5">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0341852C">
      <w:pPr>
        <w:rPr>
          <w:rFonts w:ascii="宋体" w:hAnsi="宋体"/>
          <w:b/>
          <w:bCs/>
          <w:color w:val="auto"/>
          <w:sz w:val="22"/>
          <w:szCs w:val="22"/>
          <w:highlight w:val="none"/>
        </w:rPr>
      </w:pPr>
      <w:r>
        <w:rPr>
          <w:rFonts w:hint="eastAsia" w:ascii="宋体" w:hAnsi="宋体" w:cs="宋体"/>
          <w:color w:val="auto"/>
          <w:highlight w:val="none"/>
        </w:rPr>
        <w:br w:type="page"/>
      </w:r>
      <w:r>
        <w:rPr>
          <w:rFonts w:hint="eastAsia" w:ascii="宋体" w:hAnsi="宋体"/>
          <w:b/>
          <w:bCs/>
          <w:color w:val="auto"/>
          <w:sz w:val="22"/>
          <w:szCs w:val="22"/>
          <w:highlight w:val="none"/>
        </w:rPr>
        <w:t xml:space="preserve">附件二 </w:t>
      </w:r>
    </w:p>
    <w:p w14:paraId="26659F4E">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14:paraId="3CE25953">
      <w:pPr>
        <w:spacing w:line="380" w:lineRule="exact"/>
        <w:jc w:val="center"/>
        <w:rPr>
          <w:rFonts w:ascii="宋体" w:hAnsi="宋体"/>
          <w:b/>
          <w:bCs/>
          <w:color w:val="auto"/>
          <w:sz w:val="28"/>
          <w:highlight w:val="none"/>
        </w:rPr>
      </w:pPr>
    </w:p>
    <w:p w14:paraId="5ACC6456">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7F219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2A85E662">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315" w:type="dxa"/>
            <w:gridSpan w:val="2"/>
            <w:vAlign w:val="center"/>
          </w:tcPr>
          <w:p w14:paraId="4950585E">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w:t>
            </w:r>
            <w:r>
              <w:rPr>
                <w:rFonts w:ascii="宋体" w:hAnsi="宋体" w:cs="Arial"/>
                <w:b/>
                <w:snapToGrid w:val="0"/>
                <w:color w:val="auto"/>
                <w:kern w:val="0"/>
                <w:sz w:val="22"/>
                <w:szCs w:val="22"/>
                <w:highlight w:val="none"/>
              </w:rPr>
              <w:t>名称</w:t>
            </w:r>
          </w:p>
        </w:tc>
        <w:tc>
          <w:tcPr>
            <w:tcW w:w="4443" w:type="dxa"/>
            <w:vAlign w:val="center"/>
          </w:tcPr>
          <w:p w14:paraId="396D68BD">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供货周期</w:t>
            </w:r>
          </w:p>
        </w:tc>
      </w:tr>
      <w:tr w14:paraId="26CB1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19FAD096">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315" w:type="dxa"/>
            <w:gridSpan w:val="2"/>
            <w:vAlign w:val="center"/>
          </w:tcPr>
          <w:p w14:paraId="70835EE6">
            <w:pPr>
              <w:spacing w:line="460" w:lineRule="exact"/>
              <w:jc w:val="center"/>
              <w:rPr>
                <w:rFonts w:hint="eastAsia" w:ascii="宋体" w:hAnsi="宋体" w:eastAsia="宋体" w:cs="Arial"/>
                <w:snapToGrid w:val="0"/>
                <w:color w:val="auto"/>
                <w:kern w:val="0"/>
                <w:sz w:val="22"/>
                <w:szCs w:val="22"/>
                <w:highlight w:val="none"/>
                <w:lang w:eastAsia="zh-CN"/>
              </w:rPr>
            </w:pPr>
            <w:r>
              <w:rPr>
                <w:rFonts w:hint="eastAsia" w:ascii="宋体" w:hAnsi="宋体" w:cs="Arial"/>
                <w:snapToGrid w:val="0"/>
                <w:color w:val="auto"/>
                <w:kern w:val="0"/>
                <w:sz w:val="22"/>
                <w:szCs w:val="22"/>
                <w:highlight w:val="none"/>
                <w:lang w:eastAsia="zh-CN"/>
              </w:rPr>
              <w:t>2024年教室改造设备采购</w:t>
            </w:r>
          </w:p>
        </w:tc>
        <w:tc>
          <w:tcPr>
            <w:tcW w:w="4443" w:type="dxa"/>
            <w:vAlign w:val="center"/>
          </w:tcPr>
          <w:p w14:paraId="177F334F">
            <w:pPr>
              <w:spacing w:line="460" w:lineRule="exact"/>
              <w:jc w:val="center"/>
              <w:rPr>
                <w:rFonts w:ascii="宋体" w:hAnsi="宋体" w:cs="Arial"/>
                <w:b/>
                <w:snapToGrid w:val="0"/>
                <w:color w:val="auto"/>
                <w:kern w:val="0"/>
                <w:sz w:val="22"/>
                <w:szCs w:val="22"/>
                <w:highlight w:val="none"/>
              </w:rPr>
            </w:pPr>
          </w:p>
        </w:tc>
      </w:tr>
      <w:tr w14:paraId="497FE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14:paraId="1771926B">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6460" w:type="dxa"/>
            <w:gridSpan w:val="2"/>
            <w:vAlign w:val="center"/>
          </w:tcPr>
          <w:p w14:paraId="7A4701A4">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14:paraId="47A8E00B">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14:paraId="563B880F">
      <w:pPr>
        <w:spacing w:line="460" w:lineRule="exact"/>
        <w:rPr>
          <w:rFonts w:ascii="宋体" w:hAnsi="宋体"/>
          <w:color w:val="auto"/>
          <w:sz w:val="22"/>
          <w:szCs w:val="22"/>
          <w:highlight w:val="none"/>
        </w:rPr>
      </w:pPr>
    </w:p>
    <w:p w14:paraId="5DE3CBAB">
      <w:pPr>
        <w:spacing w:line="380" w:lineRule="exact"/>
        <w:ind w:right="349" w:rightChars="166" w:firstLine="331" w:firstLineChars="150"/>
        <w:rPr>
          <w:rFonts w:ascii="宋体" w:hAnsi="宋体"/>
          <w:b/>
          <w:color w:val="auto"/>
          <w:sz w:val="22"/>
          <w:highlight w:val="none"/>
        </w:rPr>
      </w:pPr>
    </w:p>
    <w:p w14:paraId="0543B9F1">
      <w:pPr>
        <w:spacing w:line="380" w:lineRule="exact"/>
        <w:ind w:left="528" w:leftChars="-15" w:hanging="559" w:hangingChars="253"/>
        <w:rPr>
          <w:rFonts w:ascii="宋体" w:hAnsi="宋体" w:cs="Arial"/>
          <w:b/>
          <w:bCs/>
          <w:color w:val="auto"/>
          <w:sz w:val="22"/>
          <w:szCs w:val="22"/>
          <w:highlight w:val="none"/>
        </w:rPr>
      </w:pPr>
      <w:r>
        <w:rPr>
          <w:rFonts w:hint="eastAsia" w:ascii="宋体" w:hAnsi="宋体"/>
          <w:b/>
          <w:color w:val="auto"/>
          <w:sz w:val="22"/>
          <w:highlight w:val="none"/>
        </w:rPr>
        <w:t>说明：</w:t>
      </w:r>
      <w:r>
        <w:rPr>
          <w:rFonts w:hint="eastAsia" w:ascii="宋体" w:hAnsi="宋体" w:cs="Arial"/>
          <w:b/>
          <w:bCs/>
          <w:color w:val="auto"/>
          <w:sz w:val="22"/>
          <w:szCs w:val="22"/>
          <w:highlight w:val="none"/>
        </w:rPr>
        <w:t>1、《开标一览表》中“投标报价”应与</w:t>
      </w:r>
      <w:r>
        <w:rPr>
          <w:rFonts w:hint="eastAsia" w:ascii="宋体" w:hAnsi="宋体"/>
          <w:b/>
          <w:color w:val="auto"/>
          <w:sz w:val="22"/>
          <w:highlight w:val="none"/>
        </w:rPr>
        <w:t>与《投标分项报价表》中“投标总价”相一致</w:t>
      </w:r>
      <w:r>
        <w:rPr>
          <w:rFonts w:hint="eastAsia" w:ascii="宋体" w:hAnsi="宋体" w:cs="Arial"/>
          <w:b/>
          <w:bCs/>
          <w:color w:val="auto"/>
          <w:sz w:val="22"/>
          <w:szCs w:val="22"/>
          <w:highlight w:val="none"/>
        </w:rPr>
        <w:t xml:space="preserve">。 </w:t>
      </w:r>
    </w:p>
    <w:p w14:paraId="79AB1504">
      <w:pPr>
        <w:spacing w:line="380" w:lineRule="exact"/>
        <w:ind w:left="532" w:leftChars="-66" w:hanging="671" w:hangingChars="304"/>
        <w:rPr>
          <w:rFonts w:ascii="宋体" w:hAnsi="宋体"/>
          <w:b/>
          <w:color w:val="auto"/>
          <w:sz w:val="22"/>
          <w:highlight w:val="none"/>
        </w:rPr>
      </w:pPr>
      <w:r>
        <w:rPr>
          <w:rFonts w:hint="eastAsia" w:ascii="宋体" w:hAnsi="宋体" w:cs="Arial"/>
          <w:b/>
          <w:bCs/>
          <w:color w:val="auto"/>
          <w:sz w:val="22"/>
          <w:szCs w:val="22"/>
          <w:highlight w:val="none"/>
        </w:rPr>
        <w:t>2、▲</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14:paraId="6C1DF035">
      <w:pPr>
        <w:spacing w:line="380" w:lineRule="exact"/>
        <w:ind w:firstLine="660" w:firstLineChars="300"/>
        <w:rPr>
          <w:rFonts w:ascii="宋体" w:hAnsi="宋体"/>
          <w:color w:val="auto"/>
          <w:sz w:val="22"/>
          <w:szCs w:val="22"/>
          <w:highlight w:val="none"/>
        </w:rPr>
      </w:pPr>
    </w:p>
    <w:p w14:paraId="20F96353">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4142D3F0">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BBE51EA">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29943E9D">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0995C842">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w:t>
      </w:r>
      <w:r>
        <w:rPr>
          <w:rFonts w:ascii="宋体" w:hAnsi="宋体"/>
          <w:b/>
          <w:bCs/>
          <w:color w:val="auto"/>
          <w:sz w:val="28"/>
          <w:szCs w:val="28"/>
          <w:highlight w:val="none"/>
        </w:rPr>
        <w:t>投标分项报价表</w:t>
      </w:r>
    </w:p>
    <w:p w14:paraId="4F44AD2B">
      <w:pPr>
        <w:spacing w:line="380" w:lineRule="exact"/>
        <w:jc w:val="center"/>
        <w:rPr>
          <w:rFonts w:ascii="宋体" w:hAnsi="宋体"/>
          <w:b/>
          <w:bCs/>
          <w:color w:val="auto"/>
          <w:sz w:val="28"/>
          <w:szCs w:val="28"/>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493"/>
        <w:gridCol w:w="2207"/>
        <w:gridCol w:w="1196"/>
        <w:gridCol w:w="1521"/>
        <w:gridCol w:w="1810"/>
      </w:tblGrid>
      <w:tr w14:paraId="751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57D9478">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65" w:type="pct"/>
            <w:vAlign w:val="center"/>
          </w:tcPr>
          <w:p w14:paraId="2AF63446">
            <w:pPr>
              <w:jc w:val="center"/>
              <w:rPr>
                <w:rFonts w:ascii="宋体" w:hAnsi="宋体"/>
                <w:color w:val="auto"/>
                <w:sz w:val="22"/>
                <w:szCs w:val="22"/>
                <w:highlight w:val="none"/>
              </w:rPr>
            </w:pPr>
            <w:r>
              <w:rPr>
                <w:rFonts w:hint="eastAsia" w:ascii="宋体" w:hAnsi="宋体"/>
                <w:color w:val="auto"/>
                <w:sz w:val="22"/>
                <w:szCs w:val="22"/>
                <w:highlight w:val="none"/>
              </w:rPr>
              <w:t>项目内容</w:t>
            </w:r>
          </w:p>
        </w:tc>
        <w:tc>
          <w:tcPr>
            <w:tcW w:w="1120" w:type="pct"/>
            <w:vAlign w:val="center"/>
          </w:tcPr>
          <w:p w14:paraId="1DFD3553">
            <w:pPr>
              <w:jc w:val="center"/>
              <w:rPr>
                <w:rFonts w:ascii="宋体" w:hAnsi="宋体"/>
                <w:color w:val="auto"/>
                <w:sz w:val="22"/>
                <w:szCs w:val="22"/>
                <w:highlight w:val="none"/>
              </w:rPr>
            </w:pPr>
            <w:r>
              <w:rPr>
                <w:rFonts w:hint="eastAsia" w:ascii="宋体" w:hAnsi="宋体"/>
                <w:color w:val="auto"/>
                <w:sz w:val="22"/>
                <w:szCs w:val="22"/>
                <w:highlight w:val="none"/>
              </w:rPr>
              <w:t>规格/型号</w:t>
            </w:r>
          </w:p>
        </w:tc>
        <w:tc>
          <w:tcPr>
            <w:tcW w:w="607" w:type="pct"/>
            <w:vAlign w:val="center"/>
          </w:tcPr>
          <w:p w14:paraId="7C67D4C4">
            <w:pPr>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772" w:type="pct"/>
            <w:vAlign w:val="center"/>
          </w:tcPr>
          <w:p w14:paraId="69C97F7D">
            <w:pPr>
              <w:jc w:val="center"/>
              <w:rPr>
                <w:rFonts w:ascii="宋体" w:hAnsi="宋体"/>
                <w:color w:val="auto"/>
                <w:sz w:val="22"/>
                <w:szCs w:val="22"/>
                <w:highlight w:val="none"/>
              </w:rPr>
            </w:pPr>
            <w:r>
              <w:rPr>
                <w:rFonts w:hint="eastAsia" w:ascii="宋体" w:hAnsi="宋体"/>
                <w:color w:val="auto"/>
                <w:sz w:val="22"/>
                <w:szCs w:val="22"/>
                <w:highlight w:val="none"/>
              </w:rPr>
              <w:t>单价</w:t>
            </w:r>
          </w:p>
          <w:p w14:paraId="3AEF43C1">
            <w:pPr>
              <w:jc w:val="center"/>
              <w:rPr>
                <w:rFonts w:ascii="宋体" w:hAnsi="宋体"/>
                <w:color w:val="auto"/>
                <w:sz w:val="22"/>
                <w:szCs w:val="22"/>
                <w:highlight w:val="none"/>
              </w:rPr>
            </w:pPr>
            <w:r>
              <w:rPr>
                <w:rFonts w:hint="eastAsia" w:ascii="宋体" w:hAnsi="宋体"/>
                <w:color w:val="auto"/>
                <w:sz w:val="22"/>
                <w:szCs w:val="22"/>
                <w:highlight w:val="none"/>
              </w:rPr>
              <w:t>（元）</w:t>
            </w:r>
          </w:p>
        </w:tc>
        <w:tc>
          <w:tcPr>
            <w:tcW w:w="919" w:type="pct"/>
            <w:vAlign w:val="center"/>
          </w:tcPr>
          <w:p w14:paraId="0AB23DAB">
            <w:pPr>
              <w:jc w:val="center"/>
              <w:rPr>
                <w:rFonts w:ascii="宋体" w:hAnsi="宋体"/>
                <w:color w:val="auto"/>
                <w:sz w:val="22"/>
                <w:szCs w:val="22"/>
                <w:highlight w:val="none"/>
              </w:rPr>
            </w:pPr>
            <w:r>
              <w:rPr>
                <w:rFonts w:hint="eastAsia" w:ascii="宋体" w:hAnsi="宋体"/>
                <w:color w:val="auto"/>
                <w:sz w:val="22"/>
                <w:szCs w:val="22"/>
                <w:highlight w:val="none"/>
              </w:rPr>
              <w:t>报价</w:t>
            </w:r>
          </w:p>
          <w:p w14:paraId="1712A7DF">
            <w:pPr>
              <w:jc w:val="center"/>
              <w:rPr>
                <w:rFonts w:ascii="宋体" w:hAnsi="宋体"/>
                <w:color w:val="auto"/>
                <w:sz w:val="22"/>
                <w:szCs w:val="22"/>
                <w:highlight w:val="none"/>
              </w:rPr>
            </w:pPr>
            <w:r>
              <w:rPr>
                <w:rFonts w:hint="eastAsia" w:ascii="宋体" w:hAnsi="宋体"/>
                <w:color w:val="auto"/>
                <w:sz w:val="22"/>
                <w:szCs w:val="22"/>
                <w:highlight w:val="none"/>
              </w:rPr>
              <w:t>（元）</w:t>
            </w:r>
          </w:p>
        </w:tc>
      </w:tr>
      <w:tr w14:paraId="00B0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CEBBB09">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65" w:type="pct"/>
            <w:vAlign w:val="center"/>
          </w:tcPr>
          <w:p w14:paraId="225C1E94">
            <w:pPr>
              <w:jc w:val="center"/>
              <w:rPr>
                <w:rFonts w:ascii="宋体" w:hAnsi="宋体"/>
                <w:color w:val="auto"/>
                <w:sz w:val="22"/>
                <w:szCs w:val="22"/>
                <w:highlight w:val="none"/>
                <w:lang w:val="en-GB"/>
              </w:rPr>
            </w:pPr>
          </w:p>
        </w:tc>
        <w:tc>
          <w:tcPr>
            <w:tcW w:w="1120" w:type="pct"/>
            <w:vAlign w:val="center"/>
          </w:tcPr>
          <w:p w14:paraId="58E1F892">
            <w:pPr>
              <w:jc w:val="center"/>
              <w:rPr>
                <w:rFonts w:ascii="宋体" w:hAnsi="宋体"/>
                <w:color w:val="auto"/>
                <w:sz w:val="22"/>
                <w:szCs w:val="22"/>
                <w:highlight w:val="none"/>
              </w:rPr>
            </w:pPr>
          </w:p>
        </w:tc>
        <w:tc>
          <w:tcPr>
            <w:tcW w:w="607" w:type="pct"/>
            <w:vAlign w:val="center"/>
          </w:tcPr>
          <w:p w14:paraId="4AE18108">
            <w:pPr>
              <w:jc w:val="center"/>
              <w:rPr>
                <w:rFonts w:ascii="宋体" w:hAnsi="宋体"/>
                <w:color w:val="auto"/>
                <w:sz w:val="22"/>
                <w:szCs w:val="22"/>
                <w:highlight w:val="none"/>
              </w:rPr>
            </w:pPr>
          </w:p>
        </w:tc>
        <w:tc>
          <w:tcPr>
            <w:tcW w:w="772" w:type="pct"/>
            <w:vAlign w:val="center"/>
          </w:tcPr>
          <w:p w14:paraId="4A640DCB">
            <w:pPr>
              <w:jc w:val="center"/>
              <w:rPr>
                <w:rFonts w:ascii="宋体" w:hAnsi="宋体"/>
                <w:color w:val="auto"/>
                <w:sz w:val="22"/>
                <w:szCs w:val="22"/>
                <w:highlight w:val="none"/>
              </w:rPr>
            </w:pPr>
          </w:p>
        </w:tc>
        <w:tc>
          <w:tcPr>
            <w:tcW w:w="919" w:type="pct"/>
            <w:vAlign w:val="center"/>
          </w:tcPr>
          <w:p w14:paraId="146CE913">
            <w:pPr>
              <w:jc w:val="center"/>
              <w:rPr>
                <w:rFonts w:ascii="宋体" w:hAnsi="宋体"/>
                <w:color w:val="auto"/>
                <w:sz w:val="22"/>
                <w:szCs w:val="22"/>
                <w:highlight w:val="none"/>
              </w:rPr>
            </w:pPr>
          </w:p>
        </w:tc>
      </w:tr>
      <w:tr w14:paraId="2A9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4E29232">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265" w:type="pct"/>
            <w:vAlign w:val="center"/>
          </w:tcPr>
          <w:p w14:paraId="00209960">
            <w:pPr>
              <w:jc w:val="center"/>
              <w:rPr>
                <w:rFonts w:ascii="宋体" w:hAnsi="宋体"/>
                <w:color w:val="auto"/>
                <w:sz w:val="22"/>
                <w:szCs w:val="22"/>
                <w:highlight w:val="none"/>
                <w:lang w:val="en-GB"/>
              </w:rPr>
            </w:pPr>
          </w:p>
        </w:tc>
        <w:tc>
          <w:tcPr>
            <w:tcW w:w="1120" w:type="pct"/>
            <w:vAlign w:val="center"/>
          </w:tcPr>
          <w:p w14:paraId="09A656B9">
            <w:pPr>
              <w:jc w:val="center"/>
              <w:rPr>
                <w:rFonts w:ascii="宋体" w:hAnsi="宋体"/>
                <w:color w:val="auto"/>
                <w:sz w:val="22"/>
                <w:szCs w:val="22"/>
                <w:highlight w:val="none"/>
              </w:rPr>
            </w:pPr>
          </w:p>
        </w:tc>
        <w:tc>
          <w:tcPr>
            <w:tcW w:w="607" w:type="pct"/>
            <w:vAlign w:val="center"/>
          </w:tcPr>
          <w:p w14:paraId="796F09DB">
            <w:pPr>
              <w:jc w:val="center"/>
              <w:rPr>
                <w:rFonts w:ascii="宋体" w:hAnsi="宋体"/>
                <w:color w:val="auto"/>
                <w:sz w:val="22"/>
                <w:szCs w:val="22"/>
                <w:highlight w:val="none"/>
              </w:rPr>
            </w:pPr>
          </w:p>
        </w:tc>
        <w:tc>
          <w:tcPr>
            <w:tcW w:w="772" w:type="pct"/>
            <w:vAlign w:val="center"/>
          </w:tcPr>
          <w:p w14:paraId="2FCB2E8C">
            <w:pPr>
              <w:jc w:val="center"/>
              <w:rPr>
                <w:rFonts w:ascii="宋体" w:hAnsi="宋体"/>
                <w:color w:val="auto"/>
                <w:sz w:val="22"/>
                <w:szCs w:val="22"/>
                <w:highlight w:val="none"/>
              </w:rPr>
            </w:pPr>
          </w:p>
        </w:tc>
        <w:tc>
          <w:tcPr>
            <w:tcW w:w="919" w:type="pct"/>
            <w:vAlign w:val="center"/>
          </w:tcPr>
          <w:p w14:paraId="632632CE">
            <w:pPr>
              <w:jc w:val="center"/>
              <w:rPr>
                <w:rFonts w:ascii="宋体" w:hAnsi="宋体"/>
                <w:color w:val="auto"/>
                <w:sz w:val="22"/>
                <w:szCs w:val="22"/>
                <w:highlight w:val="none"/>
              </w:rPr>
            </w:pPr>
          </w:p>
        </w:tc>
      </w:tr>
      <w:tr w14:paraId="4F94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BC1C50B">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265" w:type="pct"/>
            <w:vAlign w:val="center"/>
          </w:tcPr>
          <w:p w14:paraId="762ECA5A">
            <w:pPr>
              <w:jc w:val="center"/>
              <w:rPr>
                <w:rFonts w:ascii="宋体" w:hAnsi="宋体"/>
                <w:color w:val="auto"/>
                <w:sz w:val="22"/>
                <w:szCs w:val="22"/>
                <w:highlight w:val="none"/>
                <w:lang w:val="en-GB"/>
              </w:rPr>
            </w:pPr>
          </w:p>
        </w:tc>
        <w:tc>
          <w:tcPr>
            <w:tcW w:w="1120" w:type="pct"/>
            <w:vAlign w:val="center"/>
          </w:tcPr>
          <w:p w14:paraId="4BA069F0">
            <w:pPr>
              <w:jc w:val="center"/>
              <w:rPr>
                <w:rFonts w:ascii="宋体" w:hAnsi="宋体"/>
                <w:color w:val="auto"/>
                <w:sz w:val="22"/>
                <w:szCs w:val="22"/>
                <w:highlight w:val="none"/>
              </w:rPr>
            </w:pPr>
          </w:p>
        </w:tc>
        <w:tc>
          <w:tcPr>
            <w:tcW w:w="607" w:type="pct"/>
            <w:vAlign w:val="center"/>
          </w:tcPr>
          <w:p w14:paraId="3E39CD8A">
            <w:pPr>
              <w:jc w:val="center"/>
              <w:rPr>
                <w:rFonts w:ascii="宋体" w:hAnsi="宋体"/>
                <w:color w:val="auto"/>
                <w:sz w:val="22"/>
                <w:szCs w:val="22"/>
                <w:highlight w:val="none"/>
              </w:rPr>
            </w:pPr>
          </w:p>
        </w:tc>
        <w:tc>
          <w:tcPr>
            <w:tcW w:w="772" w:type="pct"/>
            <w:vAlign w:val="center"/>
          </w:tcPr>
          <w:p w14:paraId="52EFDC5C">
            <w:pPr>
              <w:jc w:val="center"/>
              <w:rPr>
                <w:rFonts w:ascii="宋体" w:hAnsi="宋体"/>
                <w:color w:val="auto"/>
                <w:sz w:val="22"/>
                <w:szCs w:val="22"/>
                <w:highlight w:val="none"/>
              </w:rPr>
            </w:pPr>
          </w:p>
        </w:tc>
        <w:tc>
          <w:tcPr>
            <w:tcW w:w="919" w:type="pct"/>
            <w:vAlign w:val="center"/>
          </w:tcPr>
          <w:p w14:paraId="2D081384">
            <w:pPr>
              <w:jc w:val="center"/>
              <w:rPr>
                <w:rFonts w:ascii="宋体" w:hAnsi="宋体"/>
                <w:color w:val="auto"/>
                <w:sz w:val="22"/>
                <w:szCs w:val="22"/>
                <w:highlight w:val="none"/>
              </w:rPr>
            </w:pPr>
          </w:p>
        </w:tc>
      </w:tr>
      <w:tr w14:paraId="28A6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29E2F2C">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265" w:type="pct"/>
            <w:vAlign w:val="center"/>
          </w:tcPr>
          <w:p w14:paraId="7A9BFE6A">
            <w:pPr>
              <w:jc w:val="center"/>
              <w:rPr>
                <w:rFonts w:ascii="宋体" w:hAnsi="宋体"/>
                <w:color w:val="auto"/>
                <w:sz w:val="22"/>
                <w:szCs w:val="22"/>
                <w:highlight w:val="none"/>
                <w:lang w:val="en-GB"/>
              </w:rPr>
            </w:pPr>
          </w:p>
        </w:tc>
        <w:tc>
          <w:tcPr>
            <w:tcW w:w="1120" w:type="pct"/>
            <w:vAlign w:val="center"/>
          </w:tcPr>
          <w:p w14:paraId="68A5CD28">
            <w:pPr>
              <w:jc w:val="center"/>
              <w:rPr>
                <w:rFonts w:ascii="宋体" w:hAnsi="宋体"/>
                <w:color w:val="auto"/>
                <w:sz w:val="22"/>
                <w:szCs w:val="22"/>
                <w:highlight w:val="none"/>
              </w:rPr>
            </w:pPr>
          </w:p>
        </w:tc>
        <w:tc>
          <w:tcPr>
            <w:tcW w:w="607" w:type="pct"/>
            <w:vAlign w:val="center"/>
          </w:tcPr>
          <w:p w14:paraId="54CF6B8C">
            <w:pPr>
              <w:jc w:val="center"/>
              <w:rPr>
                <w:rFonts w:ascii="宋体" w:hAnsi="宋体"/>
                <w:color w:val="auto"/>
                <w:sz w:val="22"/>
                <w:szCs w:val="22"/>
                <w:highlight w:val="none"/>
              </w:rPr>
            </w:pPr>
          </w:p>
        </w:tc>
        <w:tc>
          <w:tcPr>
            <w:tcW w:w="772" w:type="pct"/>
            <w:vAlign w:val="center"/>
          </w:tcPr>
          <w:p w14:paraId="17EE9AC2">
            <w:pPr>
              <w:jc w:val="center"/>
              <w:rPr>
                <w:rFonts w:ascii="宋体" w:hAnsi="宋体"/>
                <w:color w:val="auto"/>
                <w:sz w:val="22"/>
                <w:szCs w:val="22"/>
                <w:highlight w:val="none"/>
              </w:rPr>
            </w:pPr>
          </w:p>
        </w:tc>
        <w:tc>
          <w:tcPr>
            <w:tcW w:w="919" w:type="pct"/>
            <w:vAlign w:val="center"/>
          </w:tcPr>
          <w:p w14:paraId="7296F901">
            <w:pPr>
              <w:jc w:val="center"/>
              <w:rPr>
                <w:rFonts w:ascii="宋体" w:hAnsi="宋体"/>
                <w:color w:val="auto"/>
                <w:sz w:val="22"/>
                <w:szCs w:val="22"/>
                <w:highlight w:val="none"/>
              </w:rPr>
            </w:pPr>
          </w:p>
        </w:tc>
      </w:tr>
      <w:tr w14:paraId="2597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25F6AE28">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1265" w:type="pct"/>
            <w:vAlign w:val="center"/>
          </w:tcPr>
          <w:p w14:paraId="69B30D52">
            <w:pPr>
              <w:jc w:val="center"/>
              <w:rPr>
                <w:rFonts w:ascii="宋体" w:hAnsi="宋体"/>
                <w:color w:val="auto"/>
                <w:sz w:val="22"/>
                <w:szCs w:val="22"/>
                <w:highlight w:val="none"/>
                <w:lang w:val="en-GB"/>
              </w:rPr>
            </w:pPr>
          </w:p>
        </w:tc>
        <w:tc>
          <w:tcPr>
            <w:tcW w:w="1120" w:type="pct"/>
            <w:vAlign w:val="center"/>
          </w:tcPr>
          <w:p w14:paraId="41E4D5D0">
            <w:pPr>
              <w:jc w:val="center"/>
              <w:rPr>
                <w:rFonts w:ascii="宋体" w:hAnsi="宋体"/>
                <w:color w:val="auto"/>
                <w:sz w:val="22"/>
                <w:szCs w:val="22"/>
                <w:highlight w:val="none"/>
              </w:rPr>
            </w:pPr>
          </w:p>
        </w:tc>
        <w:tc>
          <w:tcPr>
            <w:tcW w:w="607" w:type="pct"/>
            <w:vAlign w:val="center"/>
          </w:tcPr>
          <w:p w14:paraId="308E1C69">
            <w:pPr>
              <w:jc w:val="center"/>
              <w:rPr>
                <w:rFonts w:ascii="宋体" w:hAnsi="宋体"/>
                <w:color w:val="auto"/>
                <w:sz w:val="22"/>
                <w:szCs w:val="22"/>
                <w:highlight w:val="none"/>
              </w:rPr>
            </w:pPr>
          </w:p>
        </w:tc>
        <w:tc>
          <w:tcPr>
            <w:tcW w:w="772" w:type="pct"/>
            <w:vAlign w:val="center"/>
          </w:tcPr>
          <w:p w14:paraId="0D3CD570">
            <w:pPr>
              <w:jc w:val="center"/>
              <w:rPr>
                <w:rFonts w:ascii="宋体" w:hAnsi="宋体"/>
                <w:color w:val="auto"/>
                <w:sz w:val="22"/>
                <w:szCs w:val="22"/>
                <w:highlight w:val="none"/>
              </w:rPr>
            </w:pPr>
          </w:p>
        </w:tc>
        <w:tc>
          <w:tcPr>
            <w:tcW w:w="919" w:type="pct"/>
            <w:vAlign w:val="center"/>
          </w:tcPr>
          <w:p w14:paraId="50DF064E">
            <w:pPr>
              <w:jc w:val="center"/>
              <w:rPr>
                <w:rFonts w:ascii="宋体" w:hAnsi="宋体"/>
                <w:color w:val="auto"/>
                <w:sz w:val="22"/>
                <w:szCs w:val="22"/>
                <w:highlight w:val="none"/>
              </w:rPr>
            </w:pPr>
          </w:p>
        </w:tc>
      </w:tr>
      <w:tr w14:paraId="56B1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CE31085">
            <w:pPr>
              <w:jc w:val="center"/>
              <w:rPr>
                <w:rFonts w:ascii="宋体" w:hAnsi="宋体"/>
                <w:color w:val="auto"/>
                <w:sz w:val="22"/>
                <w:szCs w:val="22"/>
                <w:highlight w:val="none"/>
              </w:rPr>
            </w:pPr>
            <w:r>
              <w:rPr>
                <w:rFonts w:hint="eastAsia" w:ascii="宋体" w:hAnsi="宋体"/>
                <w:color w:val="auto"/>
                <w:sz w:val="22"/>
                <w:szCs w:val="22"/>
                <w:highlight w:val="none"/>
              </w:rPr>
              <w:t>6</w:t>
            </w:r>
          </w:p>
        </w:tc>
        <w:tc>
          <w:tcPr>
            <w:tcW w:w="1265" w:type="pct"/>
            <w:vAlign w:val="center"/>
          </w:tcPr>
          <w:p w14:paraId="31222C0F">
            <w:pPr>
              <w:jc w:val="center"/>
              <w:rPr>
                <w:rFonts w:ascii="宋体" w:hAnsi="宋体"/>
                <w:color w:val="auto"/>
                <w:sz w:val="22"/>
                <w:szCs w:val="22"/>
                <w:highlight w:val="none"/>
                <w:lang w:val="en-GB"/>
              </w:rPr>
            </w:pPr>
          </w:p>
        </w:tc>
        <w:tc>
          <w:tcPr>
            <w:tcW w:w="1120" w:type="pct"/>
            <w:vAlign w:val="center"/>
          </w:tcPr>
          <w:p w14:paraId="2DEE2635">
            <w:pPr>
              <w:jc w:val="center"/>
              <w:rPr>
                <w:rFonts w:ascii="宋体" w:hAnsi="宋体"/>
                <w:color w:val="auto"/>
                <w:sz w:val="22"/>
                <w:szCs w:val="22"/>
                <w:highlight w:val="none"/>
              </w:rPr>
            </w:pPr>
          </w:p>
        </w:tc>
        <w:tc>
          <w:tcPr>
            <w:tcW w:w="607" w:type="pct"/>
            <w:vAlign w:val="center"/>
          </w:tcPr>
          <w:p w14:paraId="5D043ADF">
            <w:pPr>
              <w:jc w:val="center"/>
              <w:rPr>
                <w:rFonts w:ascii="宋体" w:hAnsi="宋体"/>
                <w:color w:val="auto"/>
                <w:sz w:val="22"/>
                <w:szCs w:val="22"/>
                <w:highlight w:val="none"/>
              </w:rPr>
            </w:pPr>
          </w:p>
        </w:tc>
        <w:tc>
          <w:tcPr>
            <w:tcW w:w="772" w:type="pct"/>
            <w:vAlign w:val="center"/>
          </w:tcPr>
          <w:p w14:paraId="1AC024CE">
            <w:pPr>
              <w:jc w:val="center"/>
              <w:rPr>
                <w:rFonts w:ascii="宋体" w:hAnsi="宋体"/>
                <w:color w:val="auto"/>
                <w:sz w:val="22"/>
                <w:szCs w:val="22"/>
                <w:highlight w:val="none"/>
              </w:rPr>
            </w:pPr>
          </w:p>
        </w:tc>
        <w:tc>
          <w:tcPr>
            <w:tcW w:w="919" w:type="pct"/>
            <w:vAlign w:val="center"/>
          </w:tcPr>
          <w:p w14:paraId="3B39ED71">
            <w:pPr>
              <w:jc w:val="center"/>
              <w:rPr>
                <w:rFonts w:ascii="宋体" w:hAnsi="宋体"/>
                <w:color w:val="auto"/>
                <w:sz w:val="22"/>
                <w:szCs w:val="22"/>
                <w:highlight w:val="none"/>
              </w:rPr>
            </w:pPr>
          </w:p>
        </w:tc>
      </w:tr>
      <w:tr w14:paraId="2C5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6DF57ECE">
            <w:pPr>
              <w:jc w:val="center"/>
              <w:rPr>
                <w:rFonts w:ascii="宋体" w:hAnsi="宋体"/>
                <w:color w:val="auto"/>
                <w:sz w:val="22"/>
                <w:szCs w:val="22"/>
                <w:highlight w:val="none"/>
              </w:rPr>
            </w:pPr>
            <w:r>
              <w:rPr>
                <w:rFonts w:hint="eastAsia" w:ascii="宋体" w:hAnsi="宋体"/>
                <w:color w:val="auto"/>
                <w:sz w:val="22"/>
                <w:szCs w:val="22"/>
                <w:highlight w:val="none"/>
              </w:rPr>
              <w:t>7</w:t>
            </w:r>
          </w:p>
        </w:tc>
        <w:tc>
          <w:tcPr>
            <w:tcW w:w="1265" w:type="pct"/>
            <w:vAlign w:val="center"/>
          </w:tcPr>
          <w:p w14:paraId="7B9C6335">
            <w:pPr>
              <w:jc w:val="center"/>
              <w:rPr>
                <w:rFonts w:ascii="宋体" w:hAnsi="宋体"/>
                <w:color w:val="auto"/>
                <w:sz w:val="22"/>
                <w:szCs w:val="22"/>
                <w:highlight w:val="none"/>
                <w:lang w:val="en-GB"/>
              </w:rPr>
            </w:pPr>
          </w:p>
        </w:tc>
        <w:tc>
          <w:tcPr>
            <w:tcW w:w="1120" w:type="pct"/>
            <w:vAlign w:val="center"/>
          </w:tcPr>
          <w:p w14:paraId="6B86BCBA">
            <w:pPr>
              <w:jc w:val="center"/>
              <w:rPr>
                <w:rFonts w:ascii="宋体" w:hAnsi="宋体"/>
                <w:color w:val="auto"/>
                <w:sz w:val="22"/>
                <w:szCs w:val="22"/>
                <w:highlight w:val="none"/>
              </w:rPr>
            </w:pPr>
          </w:p>
        </w:tc>
        <w:tc>
          <w:tcPr>
            <w:tcW w:w="607" w:type="pct"/>
            <w:vAlign w:val="center"/>
          </w:tcPr>
          <w:p w14:paraId="28B7D039">
            <w:pPr>
              <w:jc w:val="center"/>
              <w:rPr>
                <w:rFonts w:ascii="宋体" w:hAnsi="宋体"/>
                <w:color w:val="auto"/>
                <w:sz w:val="22"/>
                <w:szCs w:val="22"/>
                <w:highlight w:val="none"/>
              </w:rPr>
            </w:pPr>
          </w:p>
        </w:tc>
        <w:tc>
          <w:tcPr>
            <w:tcW w:w="772" w:type="pct"/>
            <w:vAlign w:val="center"/>
          </w:tcPr>
          <w:p w14:paraId="32FA97B3">
            <w:pPr>
              <w:jc w:val="center"/>
              <w:rPr>
                <w:rFonts w:ascii="宋体" w:hAnsi="宋体"/>
                <w:color w:val="auto"/>
                <w:sz w:val="22"/>
                <w:szCs w:val="22"/>
                <w:highlight w:val="none"/>
              </w:rPr>
            </w:pPr>
          </w:p>
        </w:tc>
        <w:tc>
          <w:tcPr>
            <w:tcW w:w="919" w:type="pct"/>
            <w:vAlign w:val="center"/>
          </w:tcPr>
          <w:p w14:paraId="2A6FA3D1">
            <w:pPr>
              <w:jc w:val="center"/>
              <w:rPr>
                <w:rFonts w:ascii="宋体" w:hAnsi="宋体"/>
                <w:color w:val="auto"/>
                <w:sz w:val="22"/>
                <w:szCs w:val="22"/>
                <w:highlight w:val="none"/>
              </w:rPr>
            </w:pPr>
          </w:p>
        </w:tc>
      </w:tr>
      <w:tr w14:paraId="2676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220F8E2D">
            <w:pPr>
              <w:jc w:val="center"/>
              <w:rPr>
                <w:rFonts w:ascii="宋体" w:hAnsi="宋体"/>
                <w:color w:val="auto"/>
                <w:sz w:val="22"/>
                <w:szCs w:val="22"/>
                <w:highlight w:val="none"/>
              </w:rPr>
            </w:pPr>
            <w:r>
              <w:rPr>
                <w:rFonts w:hint="eastAsia" w:ascii="宋体" w:hAnsi="宋体"/>
                <w:color w:val="auto"/>
                <w:sz w:val="22"/>
                <w:szCs w:val="22"/>
                <w:highlight w:val="none"/>
              </w:rPr>
              <w:t>8</w:t>
            </w:r>
          </w:p>
        </w:tc>
        <w:tc>
          <w:tcPr>
            <w:tcW w:w="1265" w:type="pct"/>
            <w:vAlign w:val="center"/>
          </w:tcPr>
          <w:p w14:paraId="54B39C1D">
            <w:pPr>
              <w:spacing w:line="360" w:lineRule="auto"/>
              <w:jc w:val="center"/>
              <w:rPr>
                <w:rFonts w:ascii="宋体" w:hAnsi="宋体"/>
                <w:b/>
                <w:color w:val="auto"/>
                <w:sz w:val="22"/>
                <w:szCs w:val="22"/>
                <w:highlight w:val="none"/>
              </w:rPr>
            </w:pPr>
          </w:p>
        </w:tc>
        <w:tc>
          <w:tcPr>
            <w:tcW w:w="1120" w:type="pct"/>
            <w:vAlign w:val="center"/>
          </w:tcPr>
          <w:p w14:paraId="07897EEB">
            <w:pPr>
              <w:jc w:val="center"/>
              <w:rPr>
                <w:rFonts w:ascii="宋体" w:hAnsi="宋体"/>
                <w:b/>
                <w:color w:val="auto"/>
                <w:sz w:val="22"/>
                <w:szCs w:val="22"/>
                <w:highlight w:val="none"/>
              </w:rPr>
            </w:pPr>
          </w:p>
        </w:tc>
        <w:tc>
          <w:tcPr>
            <w:tcW w:w="607" w:type="pct"/>
            <w:vAlign w:val="center"/>
          </w:tcPr>
          <w:p w14:paraId="387CD0D2">
            <w:pPr>
              <w:jc w:val="center"/>
              <w:rPr>
                <w:rFonts w:ascii="宋体" w:hAnsi="宋体"/>
                <w:b/>
                <w:color w:val="auto"/>
                <w:sz w:val="22"/>
                <w:szCs w:val="22"/>
                <w:highlight w:val="none"/>
              </w:rPr>
            </w:pPr>
          </w:p>
        </w:tc>
        <w:tc>
          <w:tcPr>
            <w:tcW w:w="772" w:type="pct"/>
            <w:vAlign w:val="center"/>
          </w:tcPr>
          <w:p w14:paraId="64650F4D">
            <w:pPr>
              <w:jc w:val="center"/>
              <w:rPr>
                <w:rFonts w:ascii="宋体" w:hAnsi="宋体"/>
                <w:b/>
                <w:color w:val="auto"/>
                <w:sz w:val="22"/>
                <w:szCs w:val="22"/>
                <w:highlight w:val="none"/>
              </w:rPr>
            </w:pPr>
          </w:p>
        </w:tc>
        <w:tc>
          <w:tcPr>
            <w:tcW w:w="919" w:type="pct"/>
            <w:vAlign w:val="center"/>
          </w:tcPr>
          <w:p w14:paraId="534307AA">
            <w:pPr>
              <w:jc w:val="center"/>
              <w:rPr>
                <w:rFonts w:ascii="宋体" w:hAnsi="宋体"/>
                <w:b/>
                <w:color w:val="auto"/>
                <w:sz w:val="22"/>
                <w:szCs w:val="22"/>
                <w:highlight w:val="none"/>
              </w:rPr>
            </w:pPr>
          </w:p>
        </w:tc>
      </w:tr>
      <w:tr w14:paraId="58EF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6C3331F3">
            <w:pPr>
              <w:jc w:val="center"/>
              <w:rPr>
                <w:rFonts w:ascii="宋体" w:hAnsi="宋体"/>
                <w:color w:val="auto"/>
                <w:sz w:val="22"/>
                <w:szCs w:val="22"/>
                <w:highlight w:val="none"/>
              </w:rPr>
            </w:pPr>
            <w:r>
              <w:rPr>
                <w:rFonts w:hint="eastAsia" w:ascii="宋体" w:hAnsi="宋体"/>
                <w:color w:val="auto"/>
                <w:sz w:val="22"/>
                <w:szCs w:val="22"/>
                <w:highlight w:val="none"/>
              </w:rPr>
              <w:t>9</w:t>
            </w:r>
          </w:p>
        </w:tc>
        <w:tc>
          <w:tcPr>
            <w:tcW w:w="1265" w:type="pct"/>
            <w:vAlign w:val="center"/>
          </w:tcPr>
          <w:p w14:paraId="7E40753C">
            <w:pPr>
              <w:jc w:val="center"/>
              <w:rPr>
                <w:rFonts w:ascii="宋体" w:hAnsi="宋体"/>
                <w:color w:val="auto"/>
                <w:sz w:val="22"/>
                <w:szCs w:val="22"/>
                <w:highlight w:val="none"/>
              </w:rPr>
            </w:pPr>
          </w:p>
        </w:tc>
        <w:tc>
          <w:tcPr>
            <w:tcW w:w="1120" w:type="pct"/>
            <w:vAlign w:val="center"/>
          </w:tcPr>
          <w:p w14:paraId="669D77BA">
            <w:pPr>
              <w:jc w:val="center"/>
              <w:rPr>
                <w:rFonts w:ascii="宋体" w:hAnsi="宋体"/>
                <w:color w:val="auto"/>
                <w:sz w:val="22"/>
                <w:szCs w:val="22"/>
                <w:highlight w:val="none"/>
              </w:rPr>
            </w:pPr>
          </w:p>
        </w:tc>
        <w:tc>
          <w:tcPr>
            <w:tcW w:w="607" w:type="pct"/>
            <w:vAlign w:val="center"/>
          </w:tcPr>
          <w:p w14:paraId="6952FCE9">
            <w:pPr>
              <w:jc w:val="center"/>
              <w:rPr>
                <w:rFonts w:ascii="宋体" w:hAnsi="宋体"/>
                <w:color w:val="auto"/>
                <w:sz w:val="22"/>
                <w:szCs w:val="22"/>
                <w:highlight w:val="none"/>
              </w:rPr>
            </w:pPr>
          </w:p>
        </w:tc>
        <w:tc>
          <w:tcPr>
            <w:tcW w:w="772" w:type="pct"/>
            <w:vAlign w:val="center"/>
          </w:tcPr>
          <w:p w14:paraId="238ECD38">
            <w:pPr>
              <w:jc w:val="center"/>
              <w:rPr>
                <w:rFonts w:ascii="宋体" w:hAnsi="宋体"/>
                <w:color w:val="auto"/>
                <w:sz w:val="22"/>
                <w:szCs w:val="22"/>
                <w:highlight w:val="none"/>
              </w:rPr>
            </w:pPr>
          </w:p>
        </w:tc>
        <w:tc>
          <w:tcPr>
            <w:tcW w:w="919" w:type="pct"/>
            <w:vAlign w:val="center"/>
          </w:tcPr>
          <w:p w14:paraId="656069FD">
            <w:pPr>
              <w:jc w:val="center"/>
              <w:rPr>
                <w:rFonts w:ascii="宋体" w:hAnsi="宋体"/>
                <w:color w:val="auto"/>
                <w:sz w:val="22"/>
                <w:szCs w:val="22"/>
                <w:highlight w:val="none"/>
              </w:rPr>
            </w:pPr>
          </w:p>
        </w:tc>
      </w:tr>
      <w:tr w14:paraId="34D3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388C82F1">
            <w:pPr>
              <w:jc w:val="center"/>
              <w:rPr>
                <w:rFonts w:ascii="宋体" w:hAnsi="宋体"/>
                <w:color w:val="auto"/>
                <w:sz w:val="22"/>
                <w:szCs w:val="22"/>
                <w:highlight w:val="none"/>
              </w:rPr>
            </w:pPr>
            <w:r>
              <w:rPr>
                <w:rFonts w:hint="eastAsia" w:ascii="宋体" w:hAnsi="宋体"/>
                <w:color w:val="auto"/>
                <w:sz w:val="22"/>
                <w:szCs w:val="22"/>
                <w:highlight w:val="none"/>
              </w:rPr>
              <w:t>10</w:t>
            </w:r>
          </w:p>
        </w:tc>
        <w:tc>
          <w:tcPr>
            <w:tcW w:w="1265" w:type="pct"/>
            <w:vAlign w:val="center"/>
          </w:tcPr>
          <w:p w14:paraId="028C6321">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1120" w:type="pct"/>
            <w:vAlign w:val="center"/>
          </w:tcPr>
          <w:p w14:paraId="2E486DAE">
            <w:pPr>
              <w:jc w:val="center"/>
              <w:rPr>
                <w:rFonts w:ascii="宋体" w:hAnsi="宋体"/>
                <w:color w:val="auto"/>
                <w:sz w:val="22"/>
                <w:szCs w:val="22"/>
                <w:highlight w:val="none"/>
              </w:rPr>
            </w:pPr>
          </w:p>
        </w:tc>
        <w:tc>
          <w:tcPr>
            <w:tcW w:w="607" w:type="pct"/>
            <w:vAlign w:val="center"/>
          </w:tcPr>
          <w:p w14:paraId="23FC98D9">
            <w:pPr>
              <w:jc w:val="center"/>
              <w:rPr>
                <w:rFonts w:ascii="宋体" w:hAnsi="宋体"/>
                <w:color w:val="auto"/>
                <w:sz w:val="22"/>
                <w:szCs w:val="22"/>
                <w:highlight w:val="none"/>
              </w:rPr>
            </w:pPr>
          </w:p>
        </w:tc>
        <w:tc>
          <w:tcPr>
            <w:tcW w:w="772" w:type="pct"/>
            <w:vAlign w:val="center"/>
          </w:tcPr>
          <w:p w14:paraId="34D07F11">
            <w:pPr>
              <w:jc w:val="center"/>
              <w:rPr>
                <w:rFonts w:ascii="宋体" w:hAnsi="宋体"/>
                <w:color w:val="auto"/>
                <w:sz w:val="22"/>
                <w:szCs w:val="22"/>
                <w:highlight w:val="none"/>
              </w:rPr>
            </w:pPr>
          </w:p>
        </w:tc>
        <w:tc>
          <w:tcPr>
            <w:tcW w:w="919" w:type="pct"/>
            <w:vAlign w:val="center"/>
          </w:tcPr>
          <w:p w14:paraId="6FC1225B">
            <w:pPr>
              <w:jc w:val="center"/>
              <w:rPr>
                <w:rFonts w:ascii="宋体" w:hAnsi="宋体"/>
                <w:color w:val="auto"/>
                <w:sz w:val="22"/>
                <w:szCs w:val="22"/>
                <w:highlight w:val="none"/>
              </w:rPr>
            </w:pPr>
          </w:p>
        </w:tc>
      </w:tr>
      <w:tr w14:paraId="47C2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81" w:type="pct"/>
            <w:gridSpan w:val="5"/>
            <w:vAlign w:val="center"/>
          </w:tcPr>
          <w:p w14:paraId="37A79377">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投标总价</w:t>
            </w:r>
          </w:p>
        </w:tc>
        <w:tc>
          <w:tcPr>
            <w:tcW w:w="919" w:type="pct"/>
            <w:vAlign w:val="center"/>
          </w:tcPr>
          <w:p w14:paraId="39AE8C94">
            <w:pPr>
              <w:spacing w:line="360" w:lineRule="auto"/>
              <w:jc w:val="center"/>
              <w:rPr>
                <w:rFonts w:ascii="宋体" w:hAnsi="宋体"/>
                <w:color w:val="auto"/>
                <w:sz w:val="22"/>
                <w:szCs w:val="22"/>
                <w:highlight w:val="none"/>
              </w:rPr>
            </w:pPr>
          </w:p>
        </w:tc>
      </w:tr>
    </w:tbl>
    <w:p w14:paraId="3401D03E">
      <w:pPr>
        <w:spacing w:line="360" w:lineRule="auto"/>
        <w:rPr>
          <w:rFonts w:ascii="宋体" w:hAnsi="宋体" w:cs="宋体"/>
          <w:color w:val="auto"/>
          <w:kern w:val="0"/>
          <w:szCs w:val="21"/>
          <w:highlight w:val="none"/>
        </w:rPr>
      </w:pPr>
    </w:p>
    <w:p w14:paraId="7034F732">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1、此表内投标总价应与附件二中“开标一览表”投标报价相一致。</w:t>
      </w:r>
    </w:p>
    <w:p w14:paraId="09D2AF2F">
      <w:pPr>
        <w:spacing w:line="360" w:lineRule="exact"/>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不提供“投标分项报价表”的报价，视为没有实质性响应招标文件要求。</w:t>
      </w:r>
    </w:p>
    <w:p w14:paraId="557EA3D3">
      <w:pPr>
        <w:spacing w:line="360" w:lineRule="exact"/>
        <w:ind w:left="325" w:hanging="325" w:hangingChars="147"/>
        <w:rPr>
          <w:rFonts w:ascii="宋体" w:hAnsi="宋体"/>
          <w:b/>
          <w:color w:val="auto"/>
          <w:sz w:val="22"/>
          <w:szCs w:val="22"/>
          <w:highlight w:val="none"/>
        </w:rPr>
      </w:pPr>
      <w:r>
        <w:rPr>
          <w:rFonts w:hint="eastAsia" w:ascii="宋体" w:hAnsi="宋体"/>
          <w:b/>
          <w:color w:val="auto"/>
          <w:sz w:val="22"/>
          <w:szCs w:val="22"/>
          <w:highlight w:val="none"/>
        </w:rPr>
        <w:t>3、如果免费请在该备注栏内注明“免”，如果含在产品价格中则填“含”，如无此项内容则填“无”，不留空白。</w:t>
      </w:r>
    </w:p>
    <w:p w14:paraId="1BE98132">
      <w:pPr>
        <w:spacing w:line="360" w:lineRule="auto"/>
        <w:ind w:firstLine="420" w:firstLineChars="200"/>
        <w:rPr>
          <w:rFonts w:ascii="宋体" w:hAnsi="宋体"/>
          <w:color w:val="auto"/>
          <w:szCs w:val="21"/>
          <w:highlight w:val="none"/>
        </w:rPr>
      </w:pPr>
    </w:p>
    <w:p w14:paraId="72D39F50">
      <w:pPr>
        <w:spacing w:line="380" w:lineRule="exact"/>
        <w:ind w:firstLine="420" w:firstLineChars="200"/>
        <w:rPr>
          <w:rFonts w:ascii="宋体" w:hAnsi="宋体"/>
          <w:color w:val="auto"/>
          <w:szCs w:val="21"/>
          <w:highlight w:val="none"/>
        </w:rPr>
      </w:pPr>
    </w:p>
    <w:p w14:paraId="2ACFAFE2">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投标人全称（盖章）：</w:t>
      </w:r>
    </w:p>
    <w:p w14:paraId="0D6527B0">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399D5D44">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14:paraId="45316F49">
      <w:pPr>
        <w:rPr>
          <w:rFonts w:ascii="宋体" w:hAnsi="宋体" w:cs="Arial"/>
          <w:b/>
          <w:bCs/>
          <w:color w:val="auto"/>
          <w:szCs w:val="21"/>
          <w:highlight w:val="none"/>
        </w:rPr>
      </w:pPr>
      <w:r>
        <w:rPr>
          <w:rFonts w:ascii="宋体" w:hAnsi="宋体" w:cs="Arial"/>
          <w:b/>
          <w:bCs/>
          <w:color w:val="auto"/>
          <w:szCs w:val="21"/>
          <w:highlight w:val="none"/>
        </w:rPr>
        <w:br w:type="page"/>
      </w:r>
    </w:p>
    <w:p w14:paraId="589BACF7">
      <w:pPr>
        <w:spacing w:line="440" w:lineRule="atLeast"/>
        <w:jc w:val="center"/>
        <w:rPr>
          <w:rFonts w:ascii="宋体"/>
          <w:b/>
          <w:color w:val="auto"/>
          <w:sz w:val="22"/>
          <w:szCs w:val="22"/>
          <w:highlight w:val="none"/>
        </w:rPr>
      </w:pPr>
      <w:r>
        <w:rPr>
          <w:rFonts w:hint="eastAsia" w:hAnsi="宋体"/>
          <w:b/>
          <w:bCs/>
          <w:color w:val="auto"/>
          <w:sz w:val="22"/>
          <w:szCs w:val="22"/>
          <w:highlight w:val="none"/>
        </w:rPr>
        <w:t>（3）</w:t>
      </w:r>
      <w:r>
        <w:rPr>
          <w:rFonts w:hint="eastAsia" w:ascii="宋体" w:hAnsi="宋体"/>
          <w:b/>
          <w:color w:val="auto"/>
          <w:sz w:val="22"/>
          <w:szCs w:val="22"/>
          <w:highlight w:val="none"/>
        </w:rPr>
        <w:t>中小企业声明函</w:t>
      </w:r>
    </w:p>
    <w:p w14:paraId="495D0FFB">
      <w:pPr>
        <w:widowControl/>
        <w:adjustRightInd w:val="0"/>
        <w:snapToGrid w:val="0"/>
        <w:spacing w:line="324" w:lineRule="auto"/>
        <w:jc w:val="center"/>
        <w:rPr>
          <w:rFonts w:ascii="宋体" w:hAnsi="宋体" w:cs="宋体"/>
          <w:b/>
          <w:color w:val="auto"/>
          <w:kern w:val="0"/>
          <w:sz w:val="22"/>
          <w:szCs w:val="22"/>
          <w:highlight w:val="none"/>
        </w:rPr>
      </w:pPr>
    </w:p>
    <w:p w14:paraId="10EFEF44">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中小企业声明函（货物）</w:t>
      </w:r>
    </w:p>
    <w:p w14:paraId="70A3034D">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14:paraId="47209267">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14:paraId="33770438">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14:paraId="207734FB">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14:paraId="0F03065C">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w:t>
      </w:r>
    </w:p>
    <w:p w14:paraId="42D5FD54">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14:paraId="6CAB92F0">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14:paraId="671E89C2">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72F9FE2F">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7001397B">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176EB8A3">
      <w:pPr>
        <w:pStyle w:val="24"/>
        <w:rPr>
          <w:rFonts w:ascii="宋体" w:hAnsi="宋体" w:cs="宋体"/>
          <w:color w:val="auto"/>
          <w:sz w:val="22"/>
          <w:szCs w:val="22"/>
          <w:highlight w:val="none"/>
        </w:rPr>
      </w:pPr>
    </w:p>
    <w:p w14:paraId="103E0BDB">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71CA2963">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327575C">
      <w:pPr>
        <w:spacing w:line="440" w:lineRule="atLeast"/>
        <w:jc w:val="center"/>
        <w:rPr>
          <w:rFonts w:ascii="宋体" w:hAnsi="宋体" w:cs="宋体"/>
          <w:color w:val="auto"/>
          <w:kern w:val="0"/>
          <w:sz w:val="22"/>
          <w:szCs w:val="22"/>
          <w:highlight w:val="none"/>
        </w:rPr>
      </w:pPr>
    </w:p>
    <w:p w14:paraId="2D7CB352">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17547680">
      <w:pPr>
        <w:numPr>
          <w:ilvl w:val="0"/>
          <w:numId w:val="42"/>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工业</w:t>
      </w:r>
      <w:r>
        <w:rPr>
          <w:rFonts w:hint="eastAsia" w:ascii="宋体" w:hAnsi="宋体" w:cs="宋体"/>
          <w:b/>
          <w:color w:val="auto"/>
          <w:sz w:val="22"/>
          <w:szCs w:val="22"/>
          <w:highlight w:val="none"/>
        </w:rPr>
        <w:t>。</w:t>
      </w:r>
    </w:p>
    <w:p w14:paraId="1CD62B0B">
      <w:pPr>
        <w:numPr>
          <w:ilvl w:val="0"/>
          <w:numId w:val="42"/>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30E76D16">
      <w:pPr>
        <w:pStyle w:val="748"/>
        <w:spacing w:before="60" w:after="60"/>
        <w:rPr>
          <w:rFonts w:ascii="宋体" w:hAnsi="宋体" w:cs="宋体"/>
          <w:color w:val="auto"/>
          <w:sz w:val="22"/>
          <w:szCs w:val="22"/>
          <w:highlight w:val="none"/>
        </w:rPr>
        <w:sectPr>
          <w:footerReference r:id="rId5" w:type="first"/>
          <w:headerReference r:id="rId3" w:type="default"/>
          <w:footerReference r:id="rId4" w:type="default"/>
          <w:type w:val="nextColumn"/>
          <w:pgSz w:w="11906" w:h="16838"/>
          <w:pgMar w:top="1134" w:right="1134" w:bottom="1134" w:left="1134" w:header="851" w:footer="992" w:gutter="0"/>
          <w:cols w:space="720" w:num="1"/>
          <w:titlePg/>
          <w:docGrid w:linePitch="312" w:charSpace="0"/>
        </w:sectPr>
      </w:pPr>
    </w:p>
    <w:p w14:paraId="7145A837">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14:paraId="7E784670">
      <w:pPr>
        <w:spacing w:line="440" w:lineRule="atLeast"/>
        <w:rPr>
          <w:rFonts w:ascii="宋体"/>
          <w:color w:val="auto"/>
          <w:sz w:val="22"/>
          <w:szCs w:val="22"/>
          <w:highlight w:val="none"/>
        </w:rPr>
      </w:pPr>
    </w:p>
    <w:p w14:paraId="342DE25B">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（4）</w:t>
      </w:r>
      <w:r>
        <w:rPr>
          <w:rFonts w:hint="eastAsia" w:ascii="宋体" w:hAnsi="宋体"/>
          <w:b/>
          <w:color w:val="auto"/>
          <w:spacing w:val="6"/>
          <w:sz w:val="22"/>
          <w:szCs w:val="22"/>
          <w:highlight w:val="none"/>
        </w:rPr>
        <w:t>残疾人福利性单位声明函</w:t>
      </w:r>
    </w:p>
    <w:p w14:paraId="1A988E6D">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6C14806B">
      <w:pPr>
        <w:snapToGrid w:val="0"/>
        <w:spacing w:line="300" w:lineRule="auto"/>
        <w:jc w:val="center"/>
        <w:rPr>
          <w:rFonts w:ascii="宋体" w:cs="Arial"/>
          <w:b/>
          <w:bCs/>
          <w:color w:val="auto"/>
          <w:sz w:val="22"/>
          <w:szCs w:val="22"/>
          <w:highlight w:val="none"/>
        </w:rPr>
      </w:pPr>
    </w:p>
    <w:p w14:paraId="7A2D3994">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（采购人名称）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项目采购活动提供本单位制造的货物（由本单位承担工程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603D74FC">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391ADD8E">
      <w:pPr>
        <w:snapToGrid w:val="0"/>
        <w:spacing w:line="300" w:lineRule="auto"/>
        <w:ind w:firstLine="464" w:firstLineChars="200"/>
        <w:rPr>
          <w:rFonts w:ascii="宋体" w:cs="Arial"/>
          <w:color w:val="auto"/>
          <w:spacing w:val="6"/>
          <w:sz w:val="22"/>
          <w:szCs w:val="22"/>
          <w:highlight w:val="none"/>
        </w:rPr>
      </w:pPr>
    </w:p>
    <w:p w14:paraId="02E274BC">
      <w:pPr>
        <w:snapToGrid w:val="0"/>
        <w:spacing w:line="300" w:lineRule="auto"/>
        <w:ind w:firstLine="464" w:firstLineChars="200"/>
        <w:rPr>
          <w:rFonts w:ascii="宋体" w:cs="Arial"/>
          <w:color w:val="auto"/>
          <w:spacing w:val="6"/>
          <w:sz w:val="22"/>
          <w:szCs w:val="22"/>
          <w:highlight w:val="none"/>
        </w:rPr>
      </w:pPr>
    </w:p>
    <w:p w14:paraId="794C8777">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466FDAF8">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0337C72">
      <w:pPr>
        <w:adjustRightInd w:val="0"/>
        <w:snapToGrid w:val="0"/>
        <w:spacing w:line="300" w:lineRule="auto"/>
        <w:ind w:firstLine="440" w:firstLineChars="200"/>
        <w:rPr>
          <w:rFonts w:ascii="宋体" w:cs="Arial"/>
          <w:color w:val="auto"/>
          <w:kern w:val="0"/>
          <w:sz w:val="22"/>
          <w:szCs w:val="22"/>
          <w:highlight w:val="none"/>
        </w:rPr>
      </w:pPr>
    </w:p>
    <w:p w14:paraId="0C56E112">
      <w:pPr>
        <w:pStyle w:val="42"/>
        <w:rPr>
          <w:color w:val="auto"/>
          <w:highlight w:val="none"/>
        </w:rPr>
      </w:pPr>
    </w:p>
    <w:p w14:paraId="281061EC">
      <w:pPr>
        <w:adjustRightInd w:val="0"/>
        <w:snapToGrid w:val="0"/>
        <w:spacing w:line="300" w:lineRule="auto"/>
        <w:ind w:firstLine="440" w:firstLineChars="200"/>
        <w:rPr>
          <w:rFonts w:ascii="宋体" w:cs="Arial"/>
          <w:color w:val="auto"/>
          <w:kern w:val="0"/>
          <w:sz w:val="22"/>
          <w:szCs w:val="22"/>
          <w:highlight w:val="none"/>
        </w:rPr>
      </w:pPr>
    </w:p>
    <w:p w14:paraId="241DD72B">
      <w:pPr>
        <w:spacing w:line="440" w:lineRule="atLeast"/>
        <w:rPr>
          <w:rFonts w:ascii="宋体"/>
          <w:color w:val="auto"/>
          <w:sz w:val="22"/>
          <w:szCs w:val="22"/>
          <w:highlight w:val="none"/>
        </w:rPr>
      </w:pPr>
    </w:p>
    <w:p w14:paraId="12CAEC22">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（5）</w:t>
      </w:r>
      <w:r>
        <w:rPr>
          <w:rFonts w:hint="eastAsia" w:ascii="宋体" w:hAnsi="宋体"/>
          <w:b/>
          <w:color w:val="auto"/>
          <w:spacing w:val="6"/>
          <w:sz w:val="22"/>
          <w:szCs w:val="22"/>
          <w:highlight w:val="none"/>
        </w:rPr>
        <w:t>监狱企业声明函</w:t>
      </w:r>
    </w:p>
    <w:p w14:paraId="7EC27FD6">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1D454B55">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14:paraId="4594704F">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7AEEDF9E">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）采购活动并承担本工程。</w:t>
      </w:r>
      <w:r>
        <w:rPr>
          <w:rFonts w:ascii="宋体" w:hAnsi="宋体" w:cs="Arial"/>
          <w:color w:val="auto"/>
          <w:spacing w:val="6"/>
          <w:sz w:val="22"/>
          <w:szCs w:val="22"/>
          <w:highlight w:val="none"/>
        </w:rPr>
        <w:t xml:space="preserve"> </w:t>
      </w:r>
    </w:p>
    <w:p w14:paraId="6AE70B33">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028D496D">
      <w:pPr>
        <w:tabs>
          <w:tab w:val="left" w:pos="4860"/>
        </w:tabs>
        <w:spacing w:line="588" w:lineRule="exact"/>
        <w:ind w:right="1560" w:firstLine="464" w:firstLineChars="200"/>
        <w:jc w:val="center"/>
        <w:rPr>
          <w:rFonts w:ascii="宋体"/>
          <w:color w:val="auto"/>
          <w:spacing w:val="6"/>
          <w:sz w:val="22"/>
          <w:szCs w:val="22"/>
          <w:highlight w:val="none"/>
        </w:rPr>
      </w:pPr>
    </w:p>
    <w:p w14:paraId="668376D5">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798C03D1">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6D0B3DE">
      <w:pPr>
        <w:spacing w:line="460" w:lineRule="exact"/>
        <w:rPr>
          <w:rFonts w:ascii="宋体" w:hAnsi="宋体" w:cs="Arial"/>
          <w:b/>
          <w:bCs/>
          <w:color w:val="auto"/>
          <w:szCs w:val="21"/>
          <w:highlight w:val="none"/>
        </w:rPr>
      </w:pPr>
    </w:p>
    <w:p w14:paraId="082567B4">
      <w:pPr>
        <w:rPr>
          <w:rFonts w:ascii="宋体" w:hAnsi="宋体" w:cs="Arial"/>
          <w:b/>
          <w:bCs/>
          <w:color w:val="auto"/>
          <w:szCs w:val="21"/>
          <w:highlight w:val="none"/>
        </w:rPr>
      </w:pPr>
      <w:r>
        <w:rPr>
          <w:rFonts w:ascii="宋体" w:hAnsi="宋体" w:cs="Arial"/>
          <w:b/>
          <w:bCs/>
          <w:color w:val="auto"/>
          <w:szCs w:val="21"/>
          <w:highlight w:val="none"/>
        </w:rPr>
        <w:br w:type="page"/>
      </w:r>
    </w:p>
    <w:p w14:paraId="044BC2F6">
      <w:pPr>
        <w:numPr>
          <w:ilvl w:val="0"/>
          <w:numId w:val="0"/>
        </w:numPr>
        <w:ind w:leftChars="0"/>
        <w:jc w:val="center"/>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6</w:t>
      </w:r>
      <w:r>
        <w:rPr>
          <w:rFonts w:hint="eastAsia" w:ascii="宋体" w:hAnsi="宋体"/>
          <w:b/>
          <w:color w:val="auto"/>
          <w:sz w:val="22"/>
          <w:szCs w:val="22"/>
          <w:highlight w:val="none"/>
        </w:rPr>
        <w:t>）分包意向协议</w:t>
      </w:r>
    </w:p>
    <w:p w14:paraId="452E7174">
      <w:pPr>
        <w:numPr>
          <w:ilvl w:val="0"/>
          <w:numId w:val="0"/>
        </w:numPr>
        <w:ind w:leftChars="0"/>
        <w:rPr>
          <w:rFonts w:hint="eastAsia"/>
        </w:rPr>
      </w:pPr>
    </w:p>
    <w:p w14:paraId="7D212C6A">
      <w:pPr>
        <w:pStyle w:val="2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w:t>
      </w:r>
      <w:r>
        <w:rPr>
          <w:rFonts w:hint="eastAsia" w:ascii="宋体" w:hAnsi="宋体" w:cs="宋体"/>
          <w:color w:val="auto"/>
          <w:szCs w:val="21"/>
          <w:highlight w:val="none"/>
          <w:lang w:val="en-US" w:eastAsia="zh-CN"/>
        </w:rPr>
        <w:t>分包</w:t>
      </w:r>
      <w:r>
        <w:rPr>
          <w:rFonts w:hint="eastAsia" w:ascii="宋体" w:hAnsi="宋体" w:cs="宋体"/>
          <w:color w:val="auto"/>
          <w:szCs w:val="21"/>
          <w:highlight w:val="none"/>
        </w:rPr>
        <w:t>）</w:t>
      </w:r>
    </w:p>
    <w:p w14:paraId="2EA34A7A">
      <w:pPr>
        <w:pStyle w:val="15"/>
        <w:rPr>
          <w:rFonts w:hint="eastAsia"/>
        </w:rPr>
      </w:pPr>
    </w:p>
    <w:p w14:paraId="1C27EB98">
      <w:pPr>
        <w:pStyle w:val="15"/>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甲方：</w:t>
      </w:r>
    </w:p>
    <w:p w14:paraId="1F98CA2F">
      <w:pPr>
        <w:pStyle w:val="15"/>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乙方：</w:t>
      </w:r>
    </w:p>
    <w:p w14:paraId="559FA656">
      <w:pPr>
        <w:pStyle w:val="15"/>
        <w:spacing w:line="360" w:lineRule="auto"/>
        <w:jc w:val="left"/>
        <w:rPr>
          <w:rFonts w:hint="eastAsia" w:ascii="宋体" w:hAnsi="宋体" w:eastAsia="宋体" w:cs="宋体"/>
          <w:sz w:val="22"/>
          <w:szCs w:val="22"/>
        </w:rPr>
      </w:pPr>
    </w:p>
    <w:p w14:paraId="4F1FF43B">
      <w:pPr>
        <w:pStyle w:val="16"/>
        <w:rPr>
          <w:rFonts w:hint="eastAsia"/>
        </w:rPr>
      </w:pPr>
    </w:p>
    <w:p w14:paraId="3A653189">
      <w:pPr>
        <w:pStyle w:val="15"/>
        <w:spacing w:line="360" w:lineRule="auto"/>
        <w:jc w:val="left"/>
        <w:rPr>
          <w:rFonts w:hint="eastAsia" w:ascii="宋体" w:hAnsi="宋体" w:eastAsia="宋体" w:cs="宋体"/>
          <w:sz w:val="22"/>
          <w:szCs w:val="22"/>
        </w:rPr>
      </w:pPr>
      <w:r>
        <w:rPr>
          <w:rFonts w:hint="eastAsia" w:ascii="宋体" w:hAnsi="宋体" w:eastAsia="宋体" w:cs="宋体"/>
          <w:sz w:val="22"/>
          <w:szCs w:val="22"/>
          <w:u w:val="single"/>
        </w:rPr>
        <w:t>(甲</w:t>
      </w:r>
      <w:r>
        <w:rPr>
          <w:rFonts w:hint="eastAsia" w:ascii="宋体" w:hAnsi="宋体" w:eastAsia="宋体" w:cs="宋体"/>
          <w:sz w:val="22"/>
          <w:szCs w:val="22"/>
          <w:u w:val="single"/>
          <w:lang w:val="en-US" w:eastAsia="zh-CN"/>
        </w:rPr>
        <w:t>方</w:t>
      </w:r>
      <w:r>
        <w:rPr>
          <w:rFonts w:hint="eastAsia" w:ascii="宋体" w:hAnsi="宋体" w:eastAsia="宋体" w:cs="宋体"/>
          <w:sz w:val="22"/>
          <w:szCs w:val="22"/>
          <w:u w:val="single"/>
        </w:rPr>
        <w:t>全称)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和</w:t>
      </w:r>
      <w:r>
        <w:rPr>
          <w:rFonts w:hint="eastAsia" w:ascii="宋体" w:hAnsi="宋体" w:eastAsia="宋体" w:cs="宋体"/>
          <w:sz w:val="22"/>
          <w:szCs w:val="22"/>
          <w:u w:val="single"/>
        </w:rPr>
        <w:t>(乙</w:t>
      </w:r>
      <w:r>
        <w:rPr>
          <w:rFonts w:hint="eastAsia" w:ascii="宋体" w:hAnsi="宋体" w:eastAsia="宋体" w:cs="宋体"/>
          <w:sz w:val="22"/>
          <w:szCs w:val="22"/>
          <w:u w:val="single"/>
          <w:lang w:val="en-US" w:eastAsia="zh-CN"/>
        </w:rPr>
        <w:t>方</w:t>
      </w:r>
      <w:r>
        <w:rPr>
          <w:rFonts w:hint="eastAsia" w:ascii="宋体" w:hAnsi="宋体" w:eastAsia="宋体" w:cs="宋体"/>
          <w:sz w:val="22"/>
          <w:szCs w:val="22"/>
          <w:u w:val="single"/>
        </w:rPr>
        <w:t>全称)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自</w:t>
      </w:r>
      <w:r>
        <w:rPr>
          <w:rFonts w:hint="eastAsia" w:ascii="宋体" w:hAnsi="宋体" w:eastAsia="宋体" w:cs="宋体"/>
          <w:sz w:val="22"/>
          <w:szCs w:val="22"/>
          <w:lang w:val="en-US" w:eastAsia="zh-CN"/>
        </w:rPr>
        <w:t>愿</w:t>
      </w:r>
      <w:r>
        <w:rPr>
          <w:rFonts w:hint="eastAsia" w:ascii="宋体" w:hAnsi="宋体" w:eastAsia="宋体" w:cs="宋体"/>
          <w:sz w:val="22"/>
          <w:szCs w:val="22"/>
        </w:rPr>
        <w:t>达成分包意向，参加</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(项目名称)(项目编号)</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w:t>
      </w:r>
      <w:r>
        <w:rPr>
          <w:rFonts w:hint="eastAsia" w:ascii="宋体" w:hAnsi="宋体" w:eastAsia="宋体" w:cs="宋体"/>
          <w:sz w:val="22"/>
          <w:szCs w:val="22"/>
          <w:lang w:val="en-US" w:eastAsia="zh-CN"/>
        </w:rPr>
        <w:t>采购</w:t>
      </w:r>
      <w:r>
        <w:rPr>
          <w:rFonts w:hint="eastAsia" w:ascii="宋体" w:hAnsi="宋体" w:eastAsia="宋体" w:cs="宋体"/>
          <w:sz w:val="22"/>
          <w:szCs w:val="22"/>
        </w:rPr>
        <w:t>活动。经各方充分协商一致，就项目的响应和合同实施阶段的有关事务协商一致订立意向如下:</w:t>
      </w:r>
    </w:p>
    <w:p w14:paraId="2BB6CC40">
      <w:pPr>
        <w:pStyle w:val="15"/>
        <w:spacing w:line="360" w:lineRule="auto"/>
        <w:ind w:left="0" w:leftChars="0" w:firstLine="418" w:firstLineChars="190"/>
        <w:jc w:val="left"/>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w:t>
      </w:r>
      <w:r>
        <w:rPr>
          <w:rFonts w:hint="eastAsia" w:ascii="宋体" w:hAnsi="宋体" w:eastAsia="宋体" w:cs="宋体"/>
          <w:sz w:val="22"/>
          <w:szCs w:val="22"/>
          <w:u w:val="none"/>
          <w:lang w:eastAsia="zh-CN"/>
        </w:rPr>
        <w:t>甲方</w:t>
      </w:r>
      <w:r>
        <w:rPr>
          <w:rFonts w:hint="eastAsia" w:ascii="宋体" w:hAnsi="宋体" w:eastAsia="宋体" w:cs="宋体"/>
          <w:sz w:val="22"/>
          <w:szCs w:val="22"/>
          <w:u w:val="none"/>
        </w:rPr>
        <w:t>为</w:t>
      </w:r>
      <w:r>
        <w:rPr>
          <w:rFonts w:hint="eastAsia" w:ascii="宋体" w:hAnsi="宋体" w:eastAsia="宋体" w:cs="宋体"/>
          <w:sz w:val="22"/>
          <w:szCs w:val="22"/>
          <w:u w:val="none"/>
          <w:lang w:eastAsia="zh-CN"/>
        </w:rPr>
        <w:t>供应商</w:t>
      </w:r>
      <w:r>
        <w:rPr>
          <w:rFonts w:hint="eastAsia" w:ascii="宋体" w:hAnsi="宋体" w:eastAsia="宋体" w:cs="宋体"/>
          <w:sz w:val="22"/>
          <w:szCs w:val="22"/>
          <w:u w:val="none"/>
        </w:rPr>
        <w:t>、</w:t>
      </w:r>
      <w:r>
        <w:rPr>
          <w:rFonts w:hint="eastAsia" w:ascii="宋体" w:hAnsi="宋体" w:eastAsia="宋体" w:cs="宋体"/>
          <w:sz w:val="22"/>
          <w:szCs w:val="22"/>
          <w:u w:val="none"/>
          <w:lang w:eastAsia="zh-CN"/>
        </w:rPr>
        <w:t>乙方</w:t>
      </w:r>
      <w:r>
        <w:rPr>
          <w:rFonts w:hint="eastAsia" w:ascii="宋体" w:hAnsi="宋体" w:eastAsia="宋体" w:cs="宋体"/>
          <w:sz w:val="22"/>
          <w:szCs w:val="22"/>
          <w:u w:val="none"/>
        </w:rPr>
        <w:t>为分</w:t>
      </w:r>
      <w:r>
        <w:rPr>
          <w:rFonts w:hint="eastAsia" w:ascii="宋体" w:hAnsi="宋体" w:eastAsia="宋体" w:cs="宋体"/>
          <w:sz w:val="22"/>
          <w:szCs w:val="22"/>
        </w:rPr>
        <w:t>包意向供应商，</w:t>
      </w:r>
      <w:r>
        <w:rPr>
          <w:rFonts w:hint="eastAsia" w:ascii="宋体" w:hAnsi="宋体" w:eastAsia="宋体" w:cs="宋体"/>
          <w:sz w:val="22"/>
          <w:szCs w:val="22"/>
          <w:u w:val="none"/>
          <w:lang w:eastAsia="zh-CN"/>
        </w:rPr>
        <w:t>甲方</w:t>
      </w:r>
      <w:r>
        <w:rPr>
          <w:rFonts w:hint="eastAsia" w:ascii="宋体" w:hAnsi="宋体" w:eastAsia="宋体" w:cs="宋体"/>
          <w:sz w:val="22"/>
          <w:szCs w:val="22"/>
          <w:u w:val="none"/>
        </w:rPr>
        <w:t>以</w:t>
      </w:r>
      <w:r>
        <w:rPr>
          <w:rFonts w:hint="eastAsia" w:ascii="宋体" w:hAnsi="宋体" w:eastAsia="宋体" w:cs="宋体"/>
          <w:sz w:val="22"/>
          <w:szCs w:val="22"/>
          <w:lang w:eastAsia="zh-CN"/>
        </w:rPr>
        <w:t>供应商</w:t>
      </w:r>
      <w:r>
        <w:rPr>
          <w:rFonts w:hint="eastAsia" w:ascii="宋体" w:hAnsi="宋体" w:eastAsia="宋体" w:cs="宋体"/>
          <w:sz w:val="22"/>
          <w:szCs w:val="22"/>
        </w:rPr>
        <w:t>的身份参加本项目的</w:t>
      </w:r>
      <w:r>
        <w:rPr>
          <w:rFonts w:hint="eastAsia" w:ascii="宋体" w:hAnsi="宋体" w:cs="宋体"/>
          <w:sz w:val="22"/>
          <w:szCs w:val="22"/>
          <w:lang w:val="en-US" w:eastAsia="zh-CN"/>
        </w:rPr>
        <w:t>采购活动</w:t>
      </w:r>
      <w:r>
        <w:rPr>
          <w:rFonts w:hint="eastAsia" w:ascii="宋体" w:hAnsi="宋体" w:eastAsia="宋体" w:cs="宋体"/>
          <w:sz w:val="22"/>
          <w:szCs w:val="22"/>
        </w:rPr>
        <w:t>。</w:t>
      </w:r>
    </w:p>
    <w:p w14:paraId="0B01A539">
      <w:pPr>
        <w:pStyle w:val="15"/>
        <w:spacing w:line="360" w:lineRule="auto"/>
        <w:ind w:left="0" w:leftChars="0" w:firstLine="418" w:firstLineChars="190"/>
        <w:jc w:val="left"/>
        <w:rPr>
          <w:rFonts w:hint="eastAsia" w:ascii="宋体" w:hAnsi="宋体" w:eastAsia="宋体" w:cs="宋体"/>
          <w:sz w:val="22"/>
          <w:szCs w:val="22"/>
        </w:rPr>
      </w:pPr>
      <w:r>
        <w:rPr>
          <w:rFonts w:hint="eastAsia" w:ascii="宋体" w:hAnsi="宋体" w:eastAsia="宋体" w:cs="宋体"/>
          <w:sz w:val="22"/>
          <w:szCs w:val="22"/>
        </w:rPr>
        <w:t>二、有关事项约定如下:</w:t>
      </w:r>
    </w:p>
    <w:p w14:paraId="3255B5F8">
      <w:pPr>
        <w:pStyle w:val="15"/>
        <w:spacing w:line="360" w:lineRule="auto"/>
        <w:ind w:left="218" w:leftChars="104" w:firstLine="415" w:firstLineChars="189"/>
        <w:jc w:val="left"/>
        <w:rPr>
          <w:rFonts w:hint="eastAsia" w:ascii="宋体" w:hAnsi="宋体" w:eastAsia="宋体" w:cs="宋体"/>
          <w:sz w:val="22"/>
          <w:szCs w:val="22"/>
          <w:lang w:eastAsia="zh-CN"/>
        </w:rPr>
      </w:pPr>
      <w:r>
        <w:rPr>
          <w:rFonts w:hint="eastAsia" w:ascii="宋体" w:hAnsi="宋体" w:eastAsia="宋体" w:cs="宋体"/>
          <w:sz w:val="22"/>
          <w:szCs w:val="22"/>
        </w:rPr>
        <w:t>1.如</w:t>
      </w:r>
      <w:r>
        <w:rPr>
          <w:rFonts w:hint="eastAsia" w:ascii="宋体" w:hAnsi="宋体" w:eastAsia="宋体" w:cs="宋体"/>
          <w:sz w:val="22"/>
          <w:szCs w:val="22"/>
          <w:lang w:eastAsia="zh-CN"/>
        </w:rPr>
        <w:t>中标（成交）</w:t>
      </w:r>
      <w:r>
        <w:rPr>
          <w:rFonts w:hint="eastAsia" w:ascii="宋体" w:hAnsi="宋体" w:eastAsia="宋体" w:cs="宋体"/>
          <w:sz w:val="22"/>
          <w:szCs w:val="22"/>
        </w:rPr>
        <w:t>，</w:t>
      </w:r>
      <w:r>
        <w:rPr>
          <w:rFonts w:hint="eastAsia" w:ascii="宋体" w:hAnsi="宋体" w:eastAsia="宋体" w:cs="宋体"/>
          <w:sz w:val="22"/>
          <w:szCs w:val="22"/>
          <w:u w:val="none"/>
          <w:lang w:eastAsia="zh-CN"/>
        </w:rPr>
        <w:t>甲方</w:t>
      </w:r>
      <w:r>
        <w:rPr>
          <w:rFonts w:hint="eastAsia" w:ascii="宋体" w:hAnsi="宋体" w:eastAsia="宋体" w:cs="宋体"/>
          <w:sz w:val="22"/>
          <w:szCs w:val="22"/>
          <w:u w:val="none"/>
        </w:rPr>
        <w:t>与采购人签订采购合同。</w:t>
      </w:r>
      <w:r>
        <w:rPr>
          <w:rFonts w:hint="eastAsia" w:ascii="宋体" w:hAnsi="宋体" w:eastAsia="宋体" w:cs="宋体"/>
          <w:sz w:val="22"/>
          <w:szCs w:val="22"/>
          <w:u w:val="none"/>
          <w:lang w:eastAsia="zh-CN"/>
        </w:rPr>
        <w:t>乙方</w:t>
      </w:r>
      <w:r>
        <w:rPr>
          <w:rFonts w:hint="eastAsia" w:ascii="宋体" w:hAnsi="宋体" w:eastAsia="宋体" w:cs="宋体"/>
          <w:sz w:val="22"/>
          <w:szCs w:val="22"/>
          <w:u w:val="none"/>
        </w:rPr>
        <w:t>与</w:t>
      </w:r>
      <w:r>
        <w:rPr>
          <w:rFonts w:hint="eastAsia" w:ascii="宋体" w:hAnsi="宋体" w:eastAsia="宋体" w:cs="宋体"/>
          <w:sz w:val="22"/>
          <w:szCs w:val="22"/>
          <w:u w:val="none"/>
          <w:lang w:eastAsia="zh-CN"/>
        </w:rPr>
        <w:t>甲方</w:t>
      </w:r>
      <w:r>
        <w:rPr>
          <w:rFonts w:hint="eastAsia" w:ascii="宋体" w:hAnsi="宋体" w:eastAsia="宋体" w:cs="宋体"/>
          <w:sz w:val="22"/>
          <w:szCs w:val="22"/>
          <w:u w:val="none"/>
        </w:rPr>
        <w:t>签订分包合同。</w:t>
      </w:r>
      <w:r>
        <w:rPr>
          <w:rFonts w:hint="eastAsia" w:ascii="宋体" w:hAnsi="宋体" w:eastAsia="宋体" w:cs="宋体"/>
          <w:sz w:val="22"/>
          <w:szCs w:val="22"/>
          <w:u w:val="none"/>
          <w:lang w:eastAsia="zh-CN"/>
        </w:rPr>
        <w:t>甲方</w:t>
      </w:r>
      <w:r>
        <w:rPr>
          <w:rFonts w:hint="eastAsia" w:ascii="宋体" w:hAnsi="宋体" w:eastAsia="宋体" w:cs="宋体"/>
          <w:sz w:val="22"/>
          <w:szCs w:val="22"/>
          <w:u w:val="none"/>
        </w:rPr>
        <w:t>就采购项目和分包项目向采购人负责，</w:t>
      </w:r>
      <w:r>
        <w:rPr>
          <w:rFonts w:hint="eastAsia" w:ascii="宋体" w:hAnsi="宋体" w:eastAsia="宋体" w:cs="宋体"/>
          <w:sz w:val="22"/>
          <w:szCs w:val="22"/>
          <w:u w:val="none"/>
          <w:lang w:eastAsia="zh-CN"/>
        </w:rPr>
        <w:t>乙方</w:t>
      </w:r>
      <w:r>
        <w:rPr>
          <w:rFonts w:hint="eastAsia" w:ascii="宋体" w:hAnsi="宋体" w:eastAsia="宋体" w:cs="宋体"/>
          <w:sz w:val="22"/>
          <w:szCs w:val="22"/>
          <w:u w:val="none"/>
        </w:rPr>
        <w:t>就分包项</w:t>
      </w:r>
      <w:r>
        <w:rPr>
          <w:rFonts w:hint="eastAsia" w:ascii="宋体" w:hAnsi="宋体" w:eastAsia="宋体" w:cs="宋体"/>
          <w:sz w:val="22"/>
          <w:szCs w:val="22"/>
        </w:rPr>
        <w:t>目承担责任</w:t>
      </w:r>
      <w:r>
        <w:rPr>
          <w:rFonts w:hint="eastAsia" w:ascii="宋体" w:hAnsi="宋体" w:cs="宋体"/>
          <w:sz w:val="22"/>
          <w:szCs w:val="22"/>
          <w:lang w:eastAsia="zh-CN"/>
        </w:rPr>
        <w:t>。</w:t>
      </w:r>
    </w:p>
    <w:p w14:paraId="5C691E65">
      <w:pPr>
        <w:pStyle w:val="15"/>
        <w:spacing w:line="360" w:lineRule="auto"/>
        <w:ind w:left="218" w:leftChars="104" w:firstLine="415" w:firstLineChars="189"/>
        <w:jc w:val="left"/>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u w:val="none"/>
          <w:lang w:eastAsia="zh-CN"/>
        </w:rPr>
        <w:t>乙方</w:t>
      </w:r>
      <w:r>
        <w:rPr>
          <w:rFonts w:hint="eastAsia" w:ascii="宋体" w:hAnsi="宋体" w:eastAsia="宋体" w:cs="宋体"/>
          <w:sz w:val="22"/>
          <w:szCs w:val="22"/>
        </w:rPr>
        <w:t>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(大型</w:t>
      </w:r>
      <w:r>
        <w:rPr>
          <w:rFonts w:hint="eastAsia" w:ascii="宋体" w:hAnsi="宋体" w:eastAsia="宋体" w:cs="宋体"/>
          <w:sz w:val="22"/>
          <w:szCs w:val="22"/>
          <w:u w:val="single"/>
          <w:lang w:val="en-US" w:eastAsia="zh-CN"/>
        </w:rPr>
        <w:t>/</w:t>
      </w:r>
      <w:r>
        <w:rPr>
          <w:rFonts w:hint="eastAsia" w:ascii="宋体" w:hAnsi="宋体" w:eastAsia="宋体" w:cs="宋体"/>
          <w:sz w:val="22"/>
          <w:szCs w:val="22"/>
          <w:u w:val="single"/>
        </w:rPr>
        <w:t>中型</w:t>
      </w:r>
      <w:r>
        <w:rPr>
          <w:rFonts w:hint="eastAsia" w:ascii="宋体" w:hAnsi="宋体" w:eastAsia="宋体" w:cs="宋体"/>
          <w:sz w:val="22"/>
          <w:szCs w:val="22"/>
          <w:u w:val="single"/>
          <w:lang w:val="en-US" w:eastAsia="zh-CN"/>
        </w:rPr>
        <w:t>/</w:t>
      </w:r>
      <w:r>
        <w:rPr>
          <w:rFonts w:hint="eastAsia" w:ascii="宋体" w:hAnsi="宋体" w:eastAsia="宋体" w:cs="宋体"/>
          <w:sz w:val="22"/>
          <w:szCs w:val="22"/>
          <w:u w:val="single"/>
        </w:rPr>
        <w:t>小型</w:t>
      </w:r>
      <w:r>
        <w:rPr>
          <w:rFonts w:hint="eastAsia" w:ascii="宋体" w:hAnsi="宋体" w:eastAsia="宋体" w:cs="宋体"/>
          <w:sz w:val="22"/>
          <w:szCs w:val="22"/>
          <w:u w:val="single"/>
          <w:lang w:val="en-US" w:eastAsia="zh-CN"/>
        </w:rPr>
        <w:t>/</w:t>
      </w:r>
      <w:r>
        <w:rPr>
          <w:rFonts w:hint="eastAsia" w:ascii="宋体" w:hAnsi="宋体" w:eastAsia="宋体" w:cs="宋体"/>
          <w:sz w:val="22"/>
          <w:szCs w:val="22"/>
          <w:u w:val="single"/>
        </w:rPr>
        <w:t>微型)</w:t>
      </w:r>
      <w:r>
        <w:rPr>
          <w:rFonts w:hint="eastAsia" w:ascii="宋体" w:hAnsi="宋体" w:eastAsia="宋体" w:cs="宋体"/>
          <w:sz w:val="22"/>
          <w:szCs w:val="22"/>
        </w:rPr>
        <w:t>企业，将承担适宜分包部分</w:t>
      </w:r>
      <w:r>
        <w:rPr>
          <w:rFonts w:hint="eastAsia" w:ascii="宋体" w:hAnsi="宋体" w:eastAsia="宋体" w:cs="宋体"/>
          <w:sz w:val="22"/>
          <w:szCs w:val="22"/>
          <w:u w:val="single"/>
        </w:rPr>
        <w:t>(具体分包内容)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，占</w:t>
      </w:r>
      <w:r>
        <w:rPr>
          <w:rFonts w:hint="eastAsia" w:ascii="宋体" w:hAnsi="宋体" w:eastAsia="宋体" w:cs="宋体"/>
          <w:sz w:val="22"/>
          <w:szCs w:val="22"/>
        </w:rPr>
        <w:t>合同总金额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w:t>
      </w:r>
      <w:r>
        <w:rPr>
          <w:rFonts w:hint="eastAsia" w:ascii="宋体" w:hAnsi="宋体" w:eastAsia="宋体" w:cs="宋体"/>
          <w:sz w:val="22"/>
          <w:szCs w:val="22"/>
        </w:rPr>
        <w:t>的工作内容</w:t>
      </w:r>
      <w:r>
        <w:rPr>
          <w:rFonts w:hint="eastAsia" w:ascii="宋体" w:hAnsi="宋体" w:eastAsia="宋体" w:cs="宋体"/>
          <w:sz w:val="22"/>
          <w:szCs w:val="22"/>
          <w:lang w:eastAsia="zh-CN"/>
        </w:rPr>
        <w:t>。</w:t>
      </w:r>
    </w:p>
    <w:p w14:paraId="02AD9DE7">
      <w:pPr>
        <w:pStyle w:val="16"/>
        <w:spacing w:line="360" w:lineRule="auto"/>
        <w:ind w:left="0" w:leftChars="0" w:firstLine="418" w:firstLineChars="190"/>
        <w:jc w:val="left"/>
        <w:rPr>
          <w:rFonts w:hint="eastAsia" w:ascii="宋体" w:hAnsi="宋体" w:eastAsia="宋体" w:cs="宋体"/>
          <w:sz w:val="22"/>
          <w:szCs w:val="22"/>
          <w:lang w:eastAsia="zh-CN"/>
        </w:rPr>
      </w:pPr>
      <w:r>
        <w:rPr>
          <w:rFonts w:hint="eastAsia" w:ascii="宋体" w:hAnsi="宋体" w:eastAsia="宋体" w:cs="宋体"/>
          <w:sz w:val="22"/>
          <w:szCs w:val="22"/>
        </w:rPr>
        <w:t>三、</w:t>
      </w:r>
      <w:r>
        <w:rPr>
          <w:rFonts w:hint="eastAsia" w:ascii="宋体" w:hAnsi="宋体" w:eastAsia="宋体" w:cs="宋体"/>
          <w:sz w:val="22"/>
          <w:szCs w:val="22"/>
          <w:lang w:val="en-US" w:eastAsia="zh-CN"/>
        </w:rPr>
        <w:t>乙方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(是</w:t>
      </w:r>
      <w:r>
        <w:rPr>
          <w:rFonts w:hint="eastAsia" w:ascii="宋体" w:hAnsi="宋体" w:eastAsia="宋体" w:cs="宋体"/>
          <w:sz w:val="22"/>
          <w:szCs w:val="22"/>
          <w:u w:val="single"/>
          <w:lang w:val="en-US" w:eastAsia="zh-CN"/>
        </w:rPr>
        <w:t>/不</w:t>
      </w:r>
      <w:r>
        <w:rPr>
          <w:rFonts w:hint="eastAsia" w:ascii="宋体" w:hAnsi="宋体" w:eastAsia="宋体" w:cs="宋体"/>
          <w:sz w:val="22"/>
          <w:szCs w:val="22"/>
          <w:u w:val="single"/>
        </w:rPr>
        <w:t>)</w:t>
      </w:r>
      <w:r>
        <w:rPr>
          <w:rFonts w:hint="eastAsia" w:ascii="宋体" w:hAnsi="宋体" w:eastAsia="宋体" w:cs="宋体"/>
          <w:sz w:val="22"/>
          <w:szCs w:val="22"/>
        </w:rPr>
        <w:t>属于大企业的分支机构，</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(是</w:t>
      </w:r>
      <w:r>
        <w:rPr>
          <w:rFonts w:hint="eastAsia" w:ascii="宋体" w:hAnsi="宋体" w:eastAsia="宋体" w:cs="宋体"/>
          <w:sz w:val="22"/>
          <w:szCs w:val="22"/>
          <w:u w:val="single"/>
          <w:lang w:val="en-US" w:eastAsia="zh-CN"/>
        </w:rPr>
        <w:t>/不</w:t>
      </w:r>
      <w:r>
        <w:rPr>
          <w:rFonts w:hint="eastAsia" w:ascii="宋体" w:hAnsi="宋体" w:eastAsia="宋体" w:cs="宋体"/>
          <w:sz w:val="22"/>
          <w:szCs w:val="22"/>
          <w:u w:val="single"/>
        </w:rPr>
        <w:t>)</w:t>
      </w:r>
      <w:r>
        <w:rPr>
          <w:rFonts w:hint="eastAsia" w:ascii="宋体" w:hAnsi="宋体" w:eastAsia="宋体" w:cs="宋体"/>
          <w:sz w:val="22"/>
          <w:szCs w:val="22"/>
        </w:rPr>
        <w:t>存在控股股东为大企业的情形，</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(是</w:t>
      </w:r>
      <w:r>
        <w:rPr>
          <w:rFonts w:hint="eastAsia" w:ascii="宋体" w:hAnsi="宋体" w:eastAsia="宋体" w:cs="宋体"/>
          <w:sz w:val="22"/>
          <w:szCs w:val="22"/>
          <w:u w:val="single"/>
          <w:lang w:val="en-US" w:eastAsia="zh-CN"/>
        </w:rPr>
        <w:t>/不</w:t>
      </w:r>
      <w:r>
        <w:rPr>
          <w:rFonts w:hint="eastAsia" w:ascii="宋体" w:hAnsi="宋体" w:eastAsia="宋体" w:cs="宋体"/>
          <w:sz w:val="22"/>
          <w:szCs w:val="22"/>
          <w:u w:val="single"/>
        </w:rPr>
        <w:t>)</w:t>
      </w:r>
      <w:r>
        <w:rPr>
          <w:rFonts w:hint="eastAsia" w:ascii="宋体" w:hAnsi="宋体" w:eastAsia="宋体" w:cs="宋体"/>
          <w:sz w:val="22"/>
          <w:szCs w:val="22"/>
        </w:rPr>
        <w:t>存在与大企业的负责人为同一人的情形</w:t>
      </w:r>
      <w:r>
        <w:rPr>
          <w:rFonts w:hint="eastAsia" w:ascii="宋体" w:hAnsi="宋体" w:eastAsia="宋体" w:cs="宋体"/>
          <w:sz w:val="22"/>
          <w:szCs w:val="22"/>
          <w:lang w:eastAsia="zh-CN"/>
        </w:rPr>
        <w:t>。</w:t>
      </w:r>
    </w:p>
    <w:p w14:paraId="2ACF0EC1">
      <w:pPr>
        <w:pStyle w:val="16"/>
        <w:spacing w:line="360" w:lineRule="auto"/>
        <w:ind w:left="0" w:leftChars="0" w:firstLine="418" w:firstLineChars="190"/>
        <w:jc w:val="left"/>
        <w:rPr>
          <w:rFonts w:hint="eastAsia" w:ascii="宋体" w:hAnsi="宋体" w:eastAsia="宋体" w:cs="宋体"/>
          <w:sz w:val="22"/>
          <w:szCs w:val="22"/>
          <w:u w:val="none"/>
        </w:rPr>
      </w:pPr>
      <w:r>
        <w:rPr>
          <w:rFonts w:hint="eastAsia" w:ascii="宋体" w:hAnsi="宋体" w:eastAsia="宋体" w:cs="宋体"/>
          <w:sz w:val="22"/>
          <w:szCs w:val="22"/>
        </w:rPr>
        <w:t>四、如因违约过失责任而导致采购人经济损失或被索赔时，</w:t>
      </w:r>
      <w:r>
        <w:rPr>
          <w:rFonts w:hint="eastAsia" w:ascii="宋体" w:hAnsi="宋体" w:eastAsia="宋体" w:cs="宋体"/>
          <w:sz w:val="22"/>
          <w:szCs w:val="22"/>
          <w:u w:val="none"/>
          <w:lang w:eastAsia="zh-CN"/>
        </w:rPr>
        <w:t>甲方</w:t>
      </w:r>
      <w:r>
        <w:rPr>
          <w:rFonts w:hint="eastAsia" w:ascii="宋体" w:hAnsi="宋体" w:eastAsia="宋体" w:cs="宋体"/>
          <w:sz w:val="22"/>
          <w:szCs w:val="22"/>
          <w:u w:val="none"/>
        </w:rPr>
        <w:t>同意无条件优先清偿采购人的一切债务和经济赔偿。</w:t>
      </w:r>
    </w:p>
    <w:p w14:paraId="06DEA9CA">
      <w:pPr>
        <w:pStyle w:val="16"/>
        <w:spacing w:line="360" w:lineRule="auto"/>
        <w:ind w:left="0" w:leftChars="0" w:firstLine="418" w:firstLineChars="190"/>
        <w:jc w:val="left"/>
        <w:rPr>
          <w:rFonts w:hint="eastAsia" w:ascii="宋体" w:hAnsi="宋体" w:eastAsia="宋体" w:cs="宋体"/>
          <w:sz w:val="22"/>
          <w:szCs w:val="22"/>
        </w:rPr>
      </w:pPr>
      <w:r>
        <w:rPr>
          <w:rFonts w:hint="eastAsia" w:ascii="宋体" w:hAnsi="宋体" w:eastAsia="宋体" w:cs="宋体"/>
          <w:sz w:val="22"/>
          <w:szCs w:val="22"/>
          <w:u w:val="none"/>
        </w:rPr>
        <w:t>五、如</w:t>
      </w:r>
      <w:r>
        <w:rPr>
          <w:rFonts w:hint="eastAsia" w:ascii="宋体" w:hAnsi="宋体" w:eastAsia="宋体" w:cs="宋体"/>
          <w:sz w:val="22"/>
          <w:szCs w:val="22"/>
          <w:u w:val="none"/>
          <w:lang w:eastAsia="zh-CN"/>
        </w:rPr>
        <w:t>中标（成交）</w:t>
      </w:r>
      <w:r>
        <w:rPr>
          <w:rFonts w:hint="eastAsia" w:ascii="宋体" w:hAnsi="宋体" w:eastAsia="宋体" w:cs="宋体"/>
          <w:sz w:val="22"/>
          <w:szCs w:val="22"/>
          <w:u w:val="none"/>
        </w:rPr>
        <w:t>，</w:t>
      </w:r>
      <w:r>
        <w:rPr>
          <w:rFonts w:hint="eastAsia" w:ascii="宋体" w:hAnsi="宋体" w:eastAsia="宋体" w:cs="宋体"/>
          <w:sz w:val="22"/>
          <w:szCs w:val="22"/>
          <w:u w:val="none"/>
          <w:lang w:eastAsia="zh-CN"/>
        </w:rPr>
        <w:t>乙方</w:t>
      </w:r>
      <w:r>
        <w:rPr>
          <w:rFonts w:hint="eastAsia" w:ascii="宋体" w:hAnsi="宋体" w:eastAsia="宋体" w:cs="宋体"/>
          <w:sz w:val="22"/>
          <w:szCs w:val="22"/>
          <w:u w:val="none"/>
        </w:rPr>
        <w:t>不得以任何理由提出终止本意向协</w:t>
      </w:r>
      <w:r>
        <w:rPr>
          <w:rFonts w:hint="eastAsia" w:ascii="宋体" w:hAnsi="宋体" w:eastAsia="宋体" w:cs="宋体"/>
          <w:sz w:val="22"/>
          <w:szCs w:val="22"/>
        </w:rPr>
        <w:t>议。</w:t>
      </w:r>
    </w:p>
    <w:p w14:paraId="0FB18B66">
      <w:pPr>
        <w:pStyle w:val="16"/>
        <w:spacing w:line="360" w:lineRule="auto"/>
        <w:ind w:left="0" w:leftChars="0" w:firstLine="418" w:firstLineChars="190"/>
        <w:jc w:val="left"/>
        <w:rPr>
          <w:rFonts w:hint="eastAsia" w:ascii="宋体" w:hAnsi="宋体" w:eastAsia="宋体" w:cs="宋体"/>
          <w:sz w:val="22"/>
          <w:szCs w:val="22"/>
        </w:rPr>
      </w:pPr>
      <w:r>
        <w:rPr>
          <w:rFonts w:hint="eastAsia" w:ascii="宋体" w:hAnsi="宋体" w:eastAsia="宋体" w:cs="宋体"/>
          <w:sz w:val="22"/>
          <w:szCs w:val="22"/>
        </w:rPr>
        <w:t>六、本意向书在自签署之日起生效，</w:t>
      </w:r>
      <w:r>
        <w:rPr>
          <w:rFonts w:hint="eastAsia" w:ascii="宋体" w:hAnsi="宋体" w:eastAsia="宋体" w:cs="宋体"/>
          <w:sz w:val="22"/>
          <w:szCs w:val="22"/>
          <w:lang w:val="en-US" w:eastAsia="zh-CN"/>
        </w:rPr>
        <w:t>投标（磋商）</w:t>
      </w:r>
      <w:r>
        <w:rPr>
          <w:rFonts w:hint="eastAsia" w:ascii="宋体" w:hAnsi="宋体" w:eastAsia="宋体" w:cs="宋体"/>
          <w:sz w:val="22"/>
          <w:szCs w:val="22"/>
        </w:rPr>
        <w:t>有效期内有效，如获</w:t>
      </w:r>
      <w:r>
        <w:rPr>
          <w:rFonts w:hint="eastAsia" w:ascii="宋体" w:hAnsi="宋体" w:eastAsia="宋体" w:cs="宋体"/>
          <w:sz w:val="22"/>
          <w:szCs w:val="22"/>
          <w:lang w:eastAsia="zh-CN"/>
        </w:rPr>
        <w:t>中标（成交）</w:t>
      </w:r>
      <w:r>
        <w:rPr>
          <w:rFonts w:hint="eastAsia" w:ascii="宋体" w:hAnsi="宋体" w:eastAsia="宋体" w:cs="宋体"/>
          <w:sz w:val="22"/>
          <w:szCs w:val="22"/>
        </w:rPr>
        <w:t>资格，有效期延续至合同履行完毕之日。</w:t>
      </w:r>
    </w:p>
    <w:p w14:paraId="7E7E5931">
      <w:pPr>
        <w:pStyle w:val="16"/>
        <w:spacing w:line="360" w:lineRule="auto"/>
        <w:ind w:left="0" w:leftChars="0" w:firstLine="418" w:firstLineChars="190"/>
        <w:jc w:val="left"/>
        <w:rPr>
          <w:rFonts w:hint="eastAsia" w:ascii="宋体" w:hAnsi="宋体" w:eastAsia="宋体" w:cs="宋体"/>
          <w:sz w:val="22"/>
          <w:szCs w:val="22"/>
        </w:rPr>
      </w:pPr>
    </w:p>
    <w:p w14:paraId="133F34B6">
      <w:pPr>
        <w:pStyle w:val="16"/>
        <w:spacing w:line="360" w:lineRule="auto"/>
        <w:jc w:val="left"/>
        <w:rPr>
          <w:rFonts w:hint="eastAsia" w:ascii="宋体" w:hAnsi="宋体" w:eastAsia="宋体" w:cs="宋体"/>
          <w:sz w:val="22"/>
          <w:szCs w:val="22"/>
        </w:rPr>
      </w:pPr>
    </w:p>
    <w:p w14:paraId="50DF4D1D">
      <w:pPr>
        <w:pStyle w:val="16"/>
        <w:spacing w:line="360" w:lineRule="auto"/>
        <w:jc w:val="left"/>
        <w:rPr>
          <w:rFonts w:hint="eastAsia" w:ascii="宋体" w:hAnsi="宋体" w:eastAsia="宋体" w:cs="宋体"/>
          <w:sz w:val="22"/>
          <w:szCs w:val="22"/>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14:paraId="1828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vAlign w:val="center"/>
          </w:tcPr>
          <w:p w14:paraId="6BEFA806">
            <w:pPr>
              <w:pStyle w:val="16"/>
              <w:spacing w:line="360" w:lineRule="auto"/>
              <w:jc w:val="both"/>
              <w:rPr>
                <w:rFonts w:hint="eastAsia" w:ascii="宋体" w:hAnsi="宋体" w:eastAsia="宋体" w:cs="宋体"/>
                <w:sz w:val="22"/>
                <w:szCs w:val="22"/>
              </w:rPr>
            </w:pPr>
            <w:r>
              <w:rPr>
                <w:rFonts w:hint="eastAsia" w:ascii="宋体" w:hAnsi="宋体" w:eastAsia="宋体" w:cs="宋体"/>
                <w:sz w:val="22"/>
                <w:szCs w:val="22"/>
                <w:lang w:eastAsia="zh-CN"/>
              </w:rPr>
              <w:t>甲方</w:t>
            </w:r>
            <w:r>
              <w:rPr>
                <w:rFonts w:hint="eastAsia" w:ascii="宋体" w:hAnsi="宋体" w:eastAsia="宋体" w:cs="宋体"/>
                <w:sz w:val="22"/>
                <w:szCs w:val="22"/>
              </w:rPr>
              <w:t>全称(盖章):</w:t>
            </w:r>
          </w:p>
          <w:p w14:paraId="74B7D5AF">
            <w:pPr>
              <w:pStyle w:val="16"/>
              <w:spacing w:line="360" w:lineRule="auto"/>
              <w:jc w:val="both"/>
              <w:rPr>
                <w:rFonts w:hint="eastAsia" w:ascii="宋体" w:hAnsi="宋体" w:eastAsia="宋体" w:cs="宋体"/>
                <w:sz w:val="22"/>
                <w:szCs w:val="22"/>
              </w:rPr>
            </w:pPr>
          </w:p>
          <w:p w14:paraId="5B239CC0">
            <w:pPr>
              <w:pStyle w:val="16"/>
              <w:spacing w:line="360" w:lineRule="auto"/>
              <w:jc w:val="both"/>
              <w:rPr>
                <w:rFonts w:hint="eastAsia" w:ascii="宋体" w:hAnsi="宋体" w:eastAsia="宋体" w:cs="宋体"/>
                <w:sz w:val="22"/>
                <w:szCs w:val="22"/>
              </w:rPr>
            </w:pPr>
            <w:r>
              <w:rPr>
                <w:rFonts w:hint="eastAsia" w:ascii="宋体" w:hAnsi="宋体" w:eastAsia="宋体" w:cs="宋体"/>
                <w:sz w:val="22"/>
                <w:szCs w:val="22"/>
              </w:rPr>
              <w:t>法定代表人(签字或盖章):</w:t>
            </w:r>
          </w:p>
          <w:p w14:paraId="6F3194B8">
            <w:pPr>
              <w:pStyle w:val="16"/>
              <w:spacing w:line="360" w:lineRule="auto"/>
              <w:jc w:val="both"/>
              <w:rPr>
                <w:rFonts w:hint="eastAsia" w:ascii="宋体" w:hAnsi="宋体" w:eastAsia="宋体" w:cs="宋体"/>
                <w:sz w:val="22"/>
                <w:szCs w:val="22"/>
              </w:rPr>
            </w:pPr>
          </w:p>
          <w:p w14:paraId="3AF0C3A4">
            <w:pPr>
              <w:pStyle w:val="16"/>
              <w:spacing w:line="360" w:lineRule="auto"/>
              <w:ind w:firstLine="1540" w:firstLineChars="700"/>
              <w:jc w:val="both"/>
              <w:rPr>
                <w:rFonts w:hint="eastAsia" w:ascii="宋体" w:hAnsi="宋体" w:eastAsia="宋体" w:cs="宋体"/>
                <w:sz w:val="22"/>
                <w:szCs w:val="22"/>
                <w:vertAlign w:val="baseline"/>
              </w:rPr>
            </w:pP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tc>
        <w:tc>
          <w:tcPr>
            <w:tcW w:w="4927" w:type="dxa"/>
            <w:tcBorders>
              <w:tl2br w:val="nil"/>
              <w:tr2bl w:val="nil"/>
            </w:tcBorders>
            <w:vAlign w:val="center"/>
          </w:tcPr>
          <w:p w14:paraId="78A23DB6">
            <w:pPr>
              <w:pStyle w:val="16"/>
              <w:spacing w:line="360" w:lineRule="auto"/>
              <w:jc w:val="both"/>
              <w:rPr>
                <w:rFonts w:hint="eastAsia" w:ascii="宋体" w:hAnsi="宋体" w:eastAsia="宋体" w:cs="宋体"/>
                <w:sz w:val="22"/>
                <w:szCs w:val="22"/>
              </w:rPr>
            </w:pPr>
            <w:r>
              <w:rPr>
                <w:rFonts w:hint="eastAsia" w:ascii="宋体" w:hAnsi="宋体" w:eastAsia="宋体" w:cs="宋体"/>
                <w:sz w:val="22"/>
                <w:szCs w:val="22"/>
                <w:lang w:eastAsia="zh-CN"/>
              </w:rPr>
              <w:t>乙方</w:t>
            </w:r>
            <w:r>
              <w:rPr>
                <w:rFonts w:hint="eastAsia" w:ascii="宋体" w:hAnsi="宋体" w:eastAsia="宋体" w:cs="宋体"/>
                <w:sz w:val="22"/>
                <w:szCs w:val="22"/>
              </w:rPr>
              <w:t>全称(盖章):</w:t>
            </w:r>
          </w:p>
          <w:p w14:paraId="3F786E7C">
            <w:pPr>
              <w:pStyle w:val="16"/>
              <w:spacing w:line="360" w:lineRule="auto"/>
              <w:jc w:val="both"/>
              <w:rPr>
                <w:rFonts w:hint="eastAsia" w:ascii="宋体" w:hAnsi="宋体" w:eastAsia="宋体" w:cs="宋体"/>
                <w:sz w:val="22"/>
                <w:szCs w:val="22"/>
              </w:rPr>
            </w:pPr>
          </w:p>
          <w:p w14:paraId="12C2B62D">
            <w:pPr>
              <w:pStyle w:val="16"/>
              <w:spacing w:line="360" w:lineRule="auto"/>
              <w:jc w:val="both"/>
              <w:rPr>
                <w:rFonts w:hint="eastAsia" w:ascii="宋体" w:hAnsi="宋体" w:eastAsia="宋体" w:cs="宋体"/>
                <w:sz w:val="22"/>
                <w:szCs w:val="22"/>
              </w:rPr>
            </w:pPr>
            <w:r>
              <w:rPr>
                <w:rFonts w:hint="eastAsia" w:ascii="宋体" w:hAnsi="宋体" w:eastAsia="宋体" w:cs="宋体"/>
                <w:sz w:val="22"/>
                <w:szCs w:val="22"/>
              </w:rPr>
              <w:t>法定代表人(签字或盖章):</w:t>
            </w:r>
          </w:p>
          <w:p w14:paraId="55DDECDD">
            <w:pPr>
              <w:pStyle w:val="16"/>
              <w:spacing w:line="360" w:lineRule="auto"/>
              <w:jc w:val="both"/>
              <w:rPr>
                <w:rFonts w:hint="eastAsia" w:ascii="宋体" w:hAnsi="宋体" w:eastAsia="宋体" w:cs="宋体"/>
                <w:sz w:val="22"/>
                <w:szCs w:val="22"/>
              </w:rPr>
            </w:pPr>
          </w:p>
          <w:p w14:paraId="72F1065A">
            <w:pPr>
              <w:pStyle w:val="16"/>
              <w:spacing w:line="360" w:lineRule="auto"/>
              <w:ind w:firstLine="1540" w:firstLineChars="700"/>
              <w:jc w:val="both"/>
              <w:rPr>
                <w:rFonts w:hint="eastAsia" w:ascii="宋体" w:hAnsi="宋体" w:eastAsia="宋体" w:cs="宋体"/>
                <w:sz w:val="22"/>
                <w:szCs w:val="22"/>
                <w:vertAlign w:val="baseline"/>
              </w:rPr>
            </w:pP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tc>
      </w:tr>
    </w:tbl>
    <w:p w14:paraId="4DA8CA85">
      <w:pPr>
        <w:spacing w:line="460" w:lineRule="exact"/>
        <w:rPr>
          <w:rFonts w:ascii="宋体" w:hAnsi="宋体" w:cs="Arial"/>
          <w:b/>
          <w:bCs/>
          <w:color w:val="auto"/>
          <w:szCs w:val="21"/>
          <w:highlight w:val="none"/>
        </w:rPr>
      </w:pPr>
    </w:p>
    <w:p w14:paraId="111C8AA7">
      <w:pPr>
        <w:spacing w:line="460" w:lineRule="exact"/>
        <w:rPr>
          <w:rFonts w:ascii="宋体" w:hAnsi="宋体"/>
          <w:b/>
          <w:bCs/>
          <w:color w:val="auto"/>
          <w:sz w:val="22"/>
          <w:szCs w:val="22"/>
          <w:highlight w:val="none"/>
        </w:rPr>
      </w:pPr>
      <w:r>
        <w:rPr>
          <w:rFonts w:ascii="宋体" w:hAnsi="宋体" w:cs="Arial"/>
          <w:b/>
          <w:bCs/>
          <w:color w:val="auto"/>
          <w:szCs w:val="21"/>
          <w:highlight w:val="none"/>
        </w:rPr>
        <w:br w:type="page"/>
      </w:r>
      <w:r>
        <w:rPr>
          <w:rFonts w:hint="eastAsia" w:ascii="宋体" w:hAnsi="宋体"/>
          <w:b/>
          <w:bCs/>
          <w:color w:val="auto"/>
          <w:sz w:val="22"/>
          <w:szCs w:val="22"/>
          <w:highlight w:val="none"/>
        </w:rPr>
        <w:t>附件三</w:t>
      </w:r>
    </w:p>
    <w:p w14:paraId="1B3D81D9">
      <w:pPr>
        <w:spacing w:line="460" w:lineRule="exact"/>
        <w:rPr>
          <w:rFonts w:ascii="宋体" w:hAnsi="宋体"/>
          <w:b/>
          <w:bCs/>
          <w:color w:val="auto"/>
          <w:highlight w:val="none"/>
        </w:rPr>
      </w:pPr>
    </w:p>
    <w:p w14:paraId="7F2C8114">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34746ACA">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5BD7D7BA">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74D7D6DA">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根据贵方为项目（招标编号：）的投标邀请，我方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60F52744">
      <w:pPr>
        <w:pStyle w:val="15"/>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6F240277">
      <w:pPr>
        <w:spacing w:line="360" w:lineRule="exact"/>
        <w:ind w:firstLine="440" w:firstLineChars="200"/>
        <w:rPr>
          <w:rFonts w:ascii="宋体" w:hAnsi="宋体" w:cs="hakuyoxingshu7000"/>
          <w:color w:val="auto"/>
          <w:sz w:val="22"/>
        </w:rPr>
      </w:pPr>
      <w:r>
        <w:rPr>
          <w:rFonts w:hint="eastAsia" w:ascii="宋体" w:hAnsi="宋体" w:cs="hakuyoxingshu7000"/>
          <w:color w:val="auto"/>
          <w:sz w:val="22"/>
        </w:rPr>
        <w:t>1、</w:t>
      </w:r>
      <w:r>
        <w:rPr>
          <w:rFonts w:hint="eastAsia" w:ascii="宋体" w:hAnsi="宋体" w:cs="新宋体"/>
          <w:color w:val="auto"/>
          <w:sz w:val="22"/>
        </w:rPr>
        <w:t>按“投标人须知”要求编制的投标文件资格文件</w:t>
      </w:r>
      <w:r>
        <w:rPr>
          <w:rFonts w:hint="eastAsia" w:ascii="宋体" w:hAnsi="宋体" w:cs="Arial"/>
          <w:color w:val="auto"/>
          <w:sz w:val="22"/>
        </w:rPr>
        <w:t>【正本一份，副本五份】</w:t>
      </w:r>
      <w:r>
        <w:rPr>
          <w:rFonts w:hint="eastAsia" w:ascii="宋体" w:hAnsi="宋体" w:cs="新宋体"/>
          <w:color w:val="auto"/>
          <w:sz w:val="22"/>
        </w:rPr>
        <w:t>；</w:t>
      </w:r>
    </w:p>
    <w:p w14:paraId="473879B4">
      <w:pPr>
        <w:spacing w:line="360" w:lineRule="exact"/>
        <w:ind w:firstLine="440" w:firstLineChars="200"/>
        <w:rPr>
          <w:rFonts w:ascii="宋体" w:hAnsi="宋体" w:cs="hakuyoxingshu7000"/>
          <w:color w:val="auto"/>
          <w:sz w:val="22"/>
        </w:rPr>
      </w:pPr>
      <w:r>
        <w:rPr>
          <w:rFonts w:hint="eastAsia" w:ascii="宋体" w:hAnsi="宋体" w:cs="hakuyoxingshu7000"/>
          <w:color w:val="auto"/>
          <w:sz w:val="22"/>
        </w:rPr>
        <w:t>2、按“投标人须知”要求编制的投标文件商务技术文件</w:t>
      </w:r>
      <w:r>
        <w:rPr>
          <w:rFonts w:hint="eastAsia" w:ascii="宋体" w:hAnsi="宋体" w:cs="Arial"/>
          <w:color w:val="auto"/>
          <w:sz w:val="22"/>
        </w:rPr>
        <w:t>【正本一份，副本五份】</w:t>
      </w:r>
      <w:r>
        <w:rPr>
          <w:rFonts w:hint="eastAsia" w:ascii="宋体" w:hAnsi="宋体" w:cs="hakuyoxingshu7000"/>
          <w:color w:val="auto"/>
          <w:sz w:val="22"/>
        </w:rPr>
        <w:t>；</w:t>
      </w:r>
    </w:p>
    <w:p w14:paraId="32C3FAA7">
      <w:pPr>
        <w:spacing w:line="360" w:lineRule="exact"/>
        <w:ind w:firstLine="440" w:firstLineChars="200"/>
        <w:rPr>
          <w:rFonts w:ascii="宋体" w:hAnsi="宋体" w:cs="hakuyoxingshu7000"/>
          <w:color w:val="auto"/>
          <w:sz w:val="22"/>
        </w:rPr>
      </w:pPr>
      <w:r>
        <w:rPr>
          <w:rFonts w:hint="eastAsia" w:ascii="宋体" w:hAnsi="宋体" w:cs="hakuyoxingshu7000"/>
          <w:color w:val="auto"/>
          <w:sz w:val="22"/>
        </w:rPr>
        <w:t>3、按“投标人须知”要求编制的投标文件报价文件</w:t>
      </w:r>
      <w:r>
        <w:rPr>
          <w:rFonts w:hint="eastAsia" w:ascii="宋体" w:hAnsi="宋体" w:cs="Arial"/>
          <w:color w:val="auto"/>
          <w:sz w:val="22"/>
        </w:rPr>
        <w:t>【正本一份，副本五份】</w:t>
      </w:r>
      <w:r>
        <w:rPr>
          <w:rFonts w:hint="eastAsia" w:ascii="宋体" w:hAnsi="宋体" w:cs="hakuyoxingshu7000"/>
          <w:color w:val="auto"/>
          <w:sz w:val="22"/>
        </w:rPr>
        <w:t>；</w:t>
      </w:r>
    </w:p>
    <w:p w14:paraId="523EF580">
      <w:pPr>
        <w:spacing w:line="360" w:lineRule="exact"/>
        <w:ind w:firstLine="440" w:firstLineChars="200"/>
        <w:rPr>
          <w:rFonts w:ascii="宋体" w:hAnsi="宋体" w:cs="Arial"/>
          <w:color w:val="auto"/>
          <w:sz w:val="22"/>
        </w:rPr>
      </w:pPr>
      <w:r>
        <w:rPr>
          <w:rFonts w:hint="eastAsia" w:ascii="宋体" w:hAnsi="宋体" w:cs="hakuyoxingshu7000"/>
          <w:color w:val="auto"/>
          <w:sz w:val="22"/>
        </w:rPr>
        <w:t>4、按“投标人须知”要求编制的投标文件电子文件</w:t>
      </w:r>
      <w:r>
        <w:rPr>
          <w:rFonts w:hint="eastAsia" w:ascii="宋体" w:hAnsi="宋体" w:cs="Arial"/>
          <w:color w:val="auto"/>
          <w:sz w:val="22"/>
        </w:rPr>
        <w:t>【一份】。</w:t>
      </w:r>
    </w:p>
    <w:p w14:paraId="39BE1CE5">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w:t>
      </w:r>
      <w:r>
        <w:rPr>
          <w:rFonts w:hint="eastAsia" w:ascii="宋体" w:hAnsi="宋体" w:cs="hakuyoxingshu7000"/>
          <w:color w:val="auto"/>
          <w:sz w:val="22"/>
          <w:highlight w:val="none"/>
          <w:lang w:eastAsia="zh-CN"/>
        </w:rPr>
        <w:t>已完全</w:t>
      </w:r>
      <w:r>
        <w:rPr>
          <w:rFonts w:hint="eastAsia" w:ascii="宋体" w:hAnsi="宋体" w:cs="hakuyoxingshu7000"/>
          <w:color w:val="auto"/>
          <w:sz w:val="22"/>
          <w:highlight w:val="none"/>
        </w:rPr>
        <w:t>明白招标文件的所有条款要求，并重申以下几点：</w:t>
      </w:r>
    </w:p>
    <w:p w14:paraId="1FB479C7">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53EC62BE">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0AB67108">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14:paraId="559DB0A4">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（被通报或者处罚的违法行为有：               ）</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14:paraId="0032884A">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13390446">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7A076A88">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57A2FA33">
      <w:pPr>
        <w:pStyle w:val="121"/>
        <w:numPr>
          <w:ilvl w:val="1"/>
          <w:numId w:val="4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5624538B">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2701053E">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10FC4DD5">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2404780A">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0E4DB2D0">
      <w:pPr>
        <w:spacing w:line="420" w:lineRule="exact"/>
        <w:ind w:firstLine="435"/>
        <w:rPr>
          <w:rFonts w:ascii="宋体" w:hAnsi="宋体"/>
          <w:color w:val="auto"/>
          <w:sz w:val="22"/>
          <w:szCs w:val="22"/>
          <w:highlight w:val="none"/>
        </w:rPr>
      </w:pPr>
    </w:p>
    <w:p w14:paraId="32613986">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68FCEF67">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14:paraId="45D268FF">
      <w:pPr>
        <w:spacing w:line="460" w:lineRule="exact"/>
        <w:ind w:firstLine="435"/>
        <w:rPr>
          <w:rFonts w:ascii="宋体" w:hAnsi="宋体"/>
          <w:color w:val="auto"/>
          <w:sz w:val="22"/>
          <w:szCs w:val="22"/>
          <w:highlight w:val="none"/>
          <w:u w:val="single"/>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cols w:space="720" w:num="1"/>
          <w:titlePg/>
          <w:docGrid w:linePitch="312" w:charSpace="0"/>
        </w:sectPr>
      </w:pPr>
      <w:r>
        <w:rPr>
          <w:rFonts w:hint="eastAsia" w:ascii="宋体" w:hAnsi="宋体"/>
          <w:color w:val="auto"/>
          <w:sz w:val="22"/>
          <w:szCs w:val="22"/>
          <w:highlight w:val="none"/>
        </w:rPr>
        <w:t xml:space="preserve">                                   日    期</w:t>
      </w:r>
    </w:p>
    <w:p w14:paraId="5564DB68">
      <w:pPr>
        <w:spacing w:line="460" w:lineRule="exact"/>
        <w:rPr>
          <w:rFonts w:ascii="宋体" w:hAnsi="宋体"/>
          <w:color w:val="auto"/>
          <w:highlight w:val="none"/>
        </w:rPr>
      </w:pPr>
      <w:r>
        <w:rPr>
          <w:rFonts w:hint="eastAsia" w:ascii="宋体" w:hAnsi="宋体"/>
          <w:b/>
          <w:bCs/>
          <w:color w:val="auto"/>
          <w:sz w:val="22"/>
          <w:szCs w:val="22"/>
          <w:highlight w:val="none"/>
        </w:rPr>
        <w:t>附件四</w:t>
      </w:r>
    </w:p>
    <w:p w14:paraId="6D56AED9">
      <w:pPr>
        <w:spacing w:line="460" w:lineRule="exact"/>
        <w:rPr>
          <w:rFonts w:ascii="宋体" w:hAnsi="宋体"/>
          <w:b/>
          <w:color w:val="auto"/>
          <w:sz w:val="22"/>
          <w:szCs w:val="22"/>
          <w:highlight w:val="none"/>
        </w:rPr>
      </w:pPr>
    </w:p>
    <w:p w14:paraId="4A63E3C5">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0982CF7B">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0DA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76CBA730">
            <w:pPr>
              <w:spacing w:line="380" w:lineRule="exact"/>
              <w:jc w:val="center"/>
              <w:rPr>
                <w:rFonts w:ascii="宋体" w:hAnsi="宋体"/>
                <w:color w:val="auto"/>
                <w:sz w:val="22"/>
                <w:szCs w:val="22"/>
                <w:highlight w:val="none"/>
              </w:rPr>
            </w:pPr>
          </w:p>
        </w:tc>
        <w:tc>
          <w:tcPr>
            <w:tcW w:w="1364" w:type="dxa"/>
            <w:vAlign w:val="center"/>
          </w:tcPr>
          <w:p w14:paraId="36C310D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1A2DA6F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4794F212">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2F3424F4">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25B0040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15826E6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270A8922">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47A93E1E">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1766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183F07B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1012B1D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70072A39">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4EBB032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4B8E27E3">
            <w:pPr>
              <w:spacing w:line="380" w:lineRule="exact"/>
              <w:jc w:val="center"/>
              <w:rPr>
                <w:rFonts w:ascii="宋体" w:hAnsi="宋体"/>
                <w:color w:val="auto"/>
                <w:sz w:val="22"/>
                <w:szCs w:val="22"/>
                <w:highlight w:val="none"/>
              </w:rPr>
            </w:pPr>
          </w:p>
        </w:tc>
        <w:tc>
          <w:tcPr>
            <w:tcW w:w="2097" w:type="dxa"/>
            <w:vAlign w:val="center"/>
          </w:tcPr>
          <w:p w14:paraId="3196CA16">
            <w:pPr>
              <w:spacing w:line="380" w:lineRule="exact"/>
              <w:jc w:val="center"/>
              <w:rPr>
                <w:rFonts w:ascii="宋体" w:hAnsi="宋体"/>
                <w:color w:val="auto"/>
                <w:sz w:val="22"/>
                <w:szCs w:val="22"/>
                <w:highlight w:val="none"/>
              </w:rPr>
            </w:pPr>
          </w:p>
        </w:tc>
        <w:tc>
          <w:tcPr>
            <w:tcW w:w="1992" w:type="dxa"/>
            <w:vAlign w:val="center"/>
          </w:tcPr>
          <w:p w14:paraId="272F6F6D">
            <w:pPr>
              <w:spacing w:line="380" w:lineRule="exact"/>
              <w:jc w:val="center"/>
              <w:rPr>
                <w:rFonts w:ascii="宋体" w:hAnsi="宋体"/>
                <w:color w:val="auto"/>
                <w:sz w:val="22"/>
                <w:szCs w:val="22"/>
                <w:highlight w:val="none"/>
              </w:rPr>
            </w:pPr>
          </w:p>
        </w:tc>
        <w:tc>
          <w:tcPr>
            <w:tcW w:w="1866" w:type="dxa"/>
            <w:vAlign w:val="center"/>
          </w:tcPr>
          <w:p w14:paraId="2E17FB88">
            <w:pPr>
              <w:spacing w:line="380" w:lineRule="exact"/>
              <w:jc w:val="center"/>
              <w:rPr>
                <w:rFonts w:ascii="宋体" w:hAnsi="宋体"/>
                <w:color w:val="auto"/>
                <w:sz w:val="22"/>
                <w:szCs w:val="22"/>
                <w:highlight w:val="none"/>
              </w:rPr>
            </w:pPr>
          </w:p>
        </w:tc>
        <w:tc>
          <w:tcPr>
            <w:tcW w:w="1592" w:type="dxa"/>
            <w:vAlign w:val="center"/>
          </w:tcPr>
          <w:p w14:paraId="5148D009">
            <w:pPr>
              <w:spacing w:line="380" w:lineRule="exact"/>
              <w:jc w:val="center"/>
              <w:rPr>
                <w:rFonts w:ascii="宋体" w:hAnsi="宋体"/>
                <w:color w:val="auto"/>
                <w:sz w:val="22"/>
                <w:szCs w:val="22"/>
                <w:highlight w:val="none"/>
              </w:rPr>
            </w:pPr>
          </w:p>
        </w:tc>
      </w:tr>
      <w:tr w14:paraId="473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0C31483">
            <w:pPr>
              <w:spacing w:line="380" w:lineRule="exact"/>
              <w:ind w:firstLine="220" w:firstLineChars="100"/>
              <w:rPr>
                <w:rFonts w:ascii="宋体" w:hAnsi="宋体"/>
                <w:color w:val="auto"/>
                <w:sz w:val="22"/>
                <w:szCs w:val="22"/>
                <w:highlight w:val="none"/>
              </w:rPr>
            </w:pPr>
          </w:p>
        </w:tc>
        <w:tc>
          <w:tcPr>
            <w:tcW w:w="1364" w:type="dxa"/>
            <w:vAlign w:val="center"/>
          </w:tcPr>
          <w:p w14:paraId="259C921D">
            <w:pPr>
              <w:spacing w:line="380" w:lineRule="exact"/>
              <w:jc w:val="center"/>
              <w:rPr>
                <w:rFonts w:ascii="宋体" w:hAnsi="宋体"/>
                <w:color w:val="auto"/>
                <w:sz w:val="22"/>
                <w:szCs w:val="22"/>
                <w:highlight w:val="none"/>
              </w:rPr>
            </w:pPr>
          </w:p>
        </w:tc>
        <w:tc>
          <w:tcPr>
            <w:tcW w:w="2097" w:type="dxa"/>
            <w:vAlign w:val="center"/>
          </w:tcPr>
          <w:p w14:paraId="2793C85A">
            <w:pPr>
              <w:spacing w:line="380" w:lineRule="exact"/>
              <w:jc w:val="center"/>
              <w:rPr>
                <w:rFonts w:ascii="宋体" w:hAnsi="宋体"/>
                <w:color w:val="auto"/>
                <w:sz w:val="22"/>
                <w:szCs w:val="22"/>
                <w:highlight w:val="none"/>
              </w:rPr>
            </w:pPr>
          </w:p>
        </w:tc>
        <w:tc>
          <w:tcPr>
            <w:tcW w:w="1992" w:type="dxa"/>
            <w:vAlign w:val="center"/>
          </w:tcPr>
          <w:p w14:paraId="4EAF901D">
            <w:pPr>
              <w:spacing w:line="380" w:lineRule="exact"/>
              <w:jc w:val="center"/>
              <w:rPr>
                <w:rFonts w:ascii="宋体" w:hAnsi="宋体"/>
                <w:color w:val="auto"/>
                <w:sz w:val="22"/>
                <w:szCs w:val="22"/>
                <w:highlight w:val="none"/>
              </w:rPr>
            </w:pPr>
          </w:p>
        </w:tc>
        <w:tc>
          <w:tcPr>
            <w:tcW w:w="1866" w:type="dxa"/>
            <w:vAlign w:val="center"/>
          </w:tcPr>
          <w:p w14:paraId="507AB788">
            <w:pPr>
              <w:spacing w:line="380" w:lineRule="exact"/>
              <w:jc w:val="center"/>
              <w:rPr>
                <w:rFonts w:ascii="宋体" w:hAnsi="宋体"/>
                <w:color w:val="auto"/>
                <w:sz w:val="22"/>
                <w:szCs w:val="22"/>
                <w:highlight w:val="none"/>
              </w:rPr>
            </w:pPr>
          </w:p>
        </w:tc>
        <w:tc>
          <w:tcPr>
            <w:tcW w:w="1592" w:type="dxa"/>
            <w:vAlign w:val="center"/>
          </w:tcPr>
          <w:p w14:paraId="6B672FBB">
            <w:pPr>
              <w:spacing w:line="380" w:lineRule="exact"/>
              <w:jc w:val="center"/>
              <w:rPr>
                <w:rFonts w:ascii="宋体" w:hAnsi="宋体"/>
                <w:color w:val="auto"/>
                <w:sz w:val="22"/>
                <w:szCs w:val="22"/>
                <w:highlight w:val="none"/>
              </w:rPr>
            </w:pPr>
          </w:p>
        </w:tc>
      </w:tr>
      <w:tr w14:paraId="4660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8F1A529">
            <w:pPr>
              <w:spacing w:line="380" w:lineRule="exact"/>
              <w:jc w:val="center"/>
              <w:rPr>
                <w:rFonts w:ascii="宋体" w:hAnsi="宋体"/>
                <w:color w:val="auto"/>
                <w:sz w:val="22"/>
                <w:szCs w:val="22"/>
                <w:highlight w:val="none"/>
              </w:rPr>
            </w:pPr>
          </w:p>
        </w:tc>
        <w:tc>
          <w:tcPr>
            <w:tcW w:w="1364" w:type="dxa"/>
            <w:vAlign w:val="center"/>
          </w:tcPr>
          <w:p w14:paraId="0E5227FB">
            <w:pPr>
              <w:spacing w:line="380" w:lineRule="exact"/>
              <w:jc w:val="center"/>
              <w:rPr>
                <w:rFonts w:ascii="宋体" w:hAnsi="宋体"/>
                <w:color w:val="auto"/>
                <w:sz w:val="22"/>
                <w:szCs w:val="22"/>
                <w:highlight w:val="none"/>
              </w:rPr>
            </w:pPr>
          </w:p>
        </w:tc>
        <w:tc>
          <w:tcPr>
            <w:tcW w:w="2097" w:type="dxa"/>
            <w:vAlign w:val="center"/>
          </w:tcPr>
          <w:p w14:paraId="46AEDE53">
            <w:pPr>
              <w:spacing w:line="380" w:lineRule="exact"/>
              <w:jc w:val="center"/>
              <w:rPr>
                <w:rFonts w:ascii="宋体" w:hAnsi="宋体"/>
                <w:color w:val="auto"/>
                <w:sz w:val="22"/>
                <w:szCs w:val="22"/>
                <w:highlight w:val="none"/>
              </w:rPr>
            </w:pPr>
          </w:p>
        </w:tc>
        <w:tc>
          <w:tcPr>
            <w:tcW w:w="1992" w:type="dxa"/>
            <w:vAlign w:val="center"/>
          </w:tcPr>
          <w:p w14:paraId="4F1027E0">
            <w:pPr>
              <w:spacing w:line="380" w:lineRule="exact"/>
              <w:jc w:val="center"/>
              <w:rPr>
                <w:rFonts w:ascii="宋体" w:hAnsi="宋体"/>
                <w:color w:val="auto"/>
                <w:sz w:val="22"/>
                <w:szCs w:val="22"/>
                <w:highlight w:val="none"/>
              </w:rPr>
            </w:pPr>
          </w:p>
        </w:tc>
        <w:tc>
          <w:tcPr>
            <w:tcW w:w="1866" w:type="dxa"/>
            <w:vAlign w:val="center"/>
          </w:tcPr>
          <w:p w14:paraId="76F90BA7">
            <w:pPr>
              <w:spacing w:line="380" w:lineRule="exact"/>
              <w:jc w:val="center"/>
              <w:rPr>
                <w:rFonts w:ascii="宋体" w:hAnsi="宋体"/>
                <w:color w:val="auto"/>
                <w:sz w:val="22"/>
                <w:szCs w:val="22"/>
                <w:highlight w:val="none"/>
              </w:rPr>
            </w:pPr>
          </w:p>
        </w:tc>
        <w:tc>
          <w:tcPr>
            <w:tcW w:w="1592" w:type="dxa"/>
            <w:vAlign w:val="center"/>
          </w:tcPr>
          <w:p w14:paraId="7394021B">
            <w:pPr>
              <w:spacing w:line="380" w:lineRule="exact"/>
              <w:jc w:val="center"/>
              <w:rPr>
                <w:rFonts w:ascii="宋体" w:hAnsi="宋体"/>
                <w:color w:val="auto"/>
                <w:sz w:val="22"/>
                <w:szCs w:val="22"/>
                <w:highlight w:val="none"/>
              </w:rPr>
            </w:pPr>
          </w:p>
        </w:tc>
      </w:tr>
      <w:tr w14:paraId="40BA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D333273">
            <w:pPr>
              <w:spacing w:line="380" w:lineRule="exact"/>
              <w:jc w:val="center"/>
              <w:rPr>
                <w:rFonts w:ascii="宋体" w:hAnsi="宋体"/>
                <w:color w:val="auto"/>
                <w:sz w:val="22"/>
                <w:szCs w:val="22"/>
                <w:highlight w:val="none"/>
              </w:rPr>
            </w:pPr>
          </w:p>
        </w:tc>
        <w:tc>
          <w:tcPr>
            <w:tcW w:w="1364" w:type="dxa"/>
            <w:vAlign w:val="center"/>
          </w:tcPr>
          <w:p w14:paraId="503FB42E">
            <w:pPr>
              <w:spacing w:line="380" w:lineRule="exact"/>
              <w:jc w:val="center"/>
              <w:rPr>
                <w:rFonts w:ascii="宋体" w:hAnsi="宋体"/>
                <w:color w:val="auto"/>
                <w:sz w:val="22"/>
                <w:szCs w:val="22"/>
                <w:highlight w:val="none"/>
              </w:rPr>
            </w:pPr>
          </w:p>
        </w:tc>
        <w:tc>
          <w:tcPr>
            <w:tcW w:w="2097" w:type="dxa"/>
            <w:vAlign w:val="center"/>
          </w:tcPr>
          <w:p w14:paraId="20112586">
            <w:pPr>
              <w:spacing w:line="380" w:lineRule="exact"/>
              <w:jc w:val="center"/>
              <w:rPr>
                <w:rFonts w:ascii="宋体" w:hAnsi="宋体"/>
                <w:color w:val="auto"/>
                <w:sz w:val="22"/>
                <w:szCs w:val="22"/>
                <w:highlight w:val="none"/>
              </w:rPr>
            </w:pPr>
          </w:p>
        </w:tc>
        <w:tc>
          <w:tcPr>
            <w:tcW w:w="1992" w:type="dxa"/>
            <w:vAlign w:val="center"/>
          </w:tcPr>
          <w:p w14:paraId="3BC50428">
            <w:pPr>
              <w:spacing w:line="380" w:lineRule="exact"/>
              <w:jc w:val="center"/>
              <w:rPr>
                <w:rFonts w:ascii="宋体" w:hAnsi="宋体"/>
                <w:color w:val="auto"/>
                <w:sz w:val="22"/>
                <w:szCs w:val="22"/>
                <w:highlight w:val="none"/>
              </w:rPr>
            </w:pPr>
          </w:p>
        </w:tc>
        <w:tc>
          <w:tcPr>
            <w:tcW w:w="1866" w:type="dxa"/>
            <w:vAlign w:val="center"/>
          </w:tcPr>
          <w:p w14:paraId="21B307F1">
            <w:pPr>
              <w:spacing w:line="380" w:lineRule="exact"/>
              <w:jc w:val="center"/>
              <w:rPr>
                <w:rFonts w:ascii="宋体" w:hAnsi="宋体"/>
                <w:color w:val="auto"/>
                <w:sz w:val="22"/>
                <w:szCs w:val="22"/>
                <w:highlight w:val="none"/>
              </w:rPr>
            </w:pPr>
          </w:p>
        </w:tc>
        <w:tc>
          <w:tcPr>
            <w:tcW w:w="1592" w:type="dxa"/>
            <w:vAlign w:val="center"/>
          </w:tcPr>
          <w:p w14:paraId="490CA553">
            <w:pPr>
              <w:spacing w:line="380" w:lineRule="exact"/>
              <w:jc w:val="center"/>
              <w:rPr>
                <w:rFonts w:ascii="宋体" w:hAnsi="宋体"/>
                <w:color w:val="auto"/>
                <w:sz w:val="22"/>
                <w:szCs w:val="22"/>
                <w:highlight w:val="none"/>
              </w:rPr>
            </w:pPr>
          </w:p>
        </w:tc>
      </w:tr>
      <w:tr w14:paraId="1A0B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04C3FAF">
            <w:pPr>
              <w:spacing w:line="380" w:lineRule="exact"/>
              <w:jc w:val="center"/>
              <w:rPr>
                <w:rFonts w:ascii="宋体" w:hAnsi="宋体"/>
                <w:color w:val="auto"/>
                <w:sz w:val="22"/>
                <w:szCs w:val="22"/>
                <w:highlight w:val="none"/>
              </w:rPr>
            </w:pPr>
          </w:p>
        </w:tc>
        <w:tc>
          <w:tcPr>
            <w:tcW w:w="1364" w:type="dxa"/>
            <w:vAlign w:val="center"/>
          </w:tcPr>
          <w:p w14:paraId="7C22BF27">
            <w:pPr>
              <w:spacing w:line="380" w:lineRule="exact"/>
              <w:jc w:val="center"/>
              <w:rPr>
                <w:rFonts w:ascii="宋体" w:hAnsi="宋体"/>
                <w:color w:val="auto"/>
                <w:sz w:val="22"/>
                <w:szCs w:val="22"/>
                <w:highlight w:val="none"/>
              </w:rPr>
            </w:pPr>
          </w:p>
        </w:tc>
        <w:tc>
          <w:tcPr>
            <w:tcW w:w="2097" w:type="dxa"/>
            <w:vAlign w:val="center"/>
          </w:tcPr>
          <w:p w14:paraId="2215C32F">
            <w:pPr>
              <w:spacing w:line="380" w:lineRule="exact"/>
              <w:jc w:val="center"/>
              <w:rPr>
                <w:rFonts w:ascii="宋体" w:hAnsi="宋体"/>
                <w:color w:val="auto"/>
                <w:sz w:val="22"/>
                <w:szCs w:val="22"/>
                <w:highlight w:val="none"/>
              </w:rPr>
            </w:pPr>
          </w:p>
        </w:tc>
        <w:tc>
          <w:tcPr>
            <w:tcW w:w="1992" w:type="dxa"/>
            <w:vAlign w:val="center"/>
          </w:tcPr>
          <w:p w14:paraId="42367663">
            <w:pPr>
              <w:spacing w:line="380" w:lineRule="exact"/>
              <w:jc w:val="center"/>
              <w:rPr>
                <w:rFonts w:ascii="宋体" w:hAnsi="宋体"/>
                <w:color w:val="auto"/>
                <w:sz w:val="22"/>
                <w:szCs w:val="22"/>
                <w:highlight w:val="none"/>
              </w:rPr>
            </w:pPr>
          </w:p>
        </w:tc>
        <w:tc>
          <w:tcPr>
            <w:tcW w:w="1866" w:type="dxa"/>
            <w:vAlign w:val="center"/>
          </w:tcPr>
          <w:p w14:paraId="1FE11A3A">
            <w:pPr>
              <w:spacing w:line="380" w:lineRule="exact"/>
              <w:jc w:val="center"/>
              <w:rPr>
                <w:rFonts w:ascii="宋体" w:hAnsi="宋体"/>
                <w:color w:val="auto"/>
                <w:sz w:val="22"/>
                <w:szCs w:val="22"/>
                <w:highlight w:val="none"/>
              </w:rPr>
            </w:pPr>
          </w:p>
        </w:tc>
        <w:tc>
          <w:tcPr>
            <w:tcW w:w="1592" w:type="dxa"/>
            <w:vAlign w:val="center"/>
          </w:tcPr>
          <w:p w14:paraId="470F7688">
            <w:pPr>
              <w:spacing w:line="380" w:lineRule="exact"/>
              <w:jc w:val="center"/>
              <w:rPr>
                <w:rFonts w:ascii="宋体" w:hAnsi="宋体"/>
                <w:color w:val="auto"/>
                <w:sz w:val="22"/>
                <w:szCs w:val="22"/>
                <w:highlight w:val="none"/>
              </w:rPr>
            </w:pPr>
          </w:p>
        </w:tc>
      </w:tr>
      <w:tr w14:paraId="4B0D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6B63909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564FADF2">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4279A50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3737000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4EABA38F">
            <w:pPr>
              <w:spacing w:line="380" w:lineRule="exact"/>
              <w:jc w:val="center"/>
              <w:rPr>
                <w:rFonts w:ascii="宋体" w:hAnsi="宋体"/>
                <w:color w:val="auto"/>
                <w:sz w:val="22"/>
                <w:szCs w:val="22"/>
                <w:highlight w:val="none"/>
              </w:rPr>
            </w:pPr>
          </w:p>
        </w:tc>
        <w:tc>
          <w:tcPr>
            <w:tcW w:w="2097" w:type="dxa"/>
            <w:vAlign w:val="center"/>
          </w:tcPr>
          <w:p w14:paraId="73635C40">
            <w:pPr>
              <w:spacing w:line="380" w:lineRule="exact"/>
              <w:jc w:val="center"/>
              <w:rPr>
                <w:rFonts w:ascii="宋体" w:hAnsi="宋体"/>
                <w:color w:val="auto"/>
                <w:sz w:val="22"/>
                <w:szCs w:val="22"/>
                <w:highlight w:val="none"/>
              </w:rPr>
            </w:pPr>
          </w:p>
        </w:tc>
        <w:tc>
          <w:tcPr>
            <w:tcW w:w="1992" w:type="dxa"/>
            <w:vAlign w:val="center"/>
          </w:tcPr>
          <w:p w14:paraId="18E5A69B">
            <w:pPr>
              <w:spacing w:line="380" w:lineRule="exact"/>
              <w:jc w:val="center"/>
              <w:rPr>
                <w:rFonts w:ascii="宋体" w:hAnsi="宋体"/>
                <w:color w:val="auto"/>
                <w:sz w:val="22"/>
                <w:szCs w:val="22"/>
                <w:highlight w:val="none"/>
              </w:rPr>
            </w:pPr>
          </w:p>
        </w:tc>
        <w:tc>
          <w:tcPr>
            <w:tcW w:w="1866" w:type="dxa"/>
            <w:vAlign w:val="center"/>
          </w:tcPr>
          <w:p w14:paraId="736EE53E">
            <w:pPr>
              <w:spacing w:line="380" w:lineRule="exact"/>
              <w:jc w:val="center"/>
              <w:rPr>
                <w:rFonts w:ascii="宋体" w:hAnsi="宋体"/>
                <w:color w:val="auto"/>
                <w:sz w:val="22"/>
                <w:szCs w:val="22"/>
                <w:highlight w:val="none"/>
              </w:rPr>
            </w:pPr>
          </w:p>
        </w:tc>
        <w:tc>
          <w:tcPr>
            <w:tcW w:w="1592" w:type="dxa"/>
            <w:vAlign w:val="center"/>
          </w:tcPr>
          <w:p w14:paraId="7BCE36A1">
            <w:pPr>
              <w:spacing w:line="380" w:lineRule="exact"/>
              <w:jc w:val="center"/>
              <w:rPr>
                <w:rFonts w:ascii="宋体" w:hAnsi="宋体"/>
                <w:color w:val="auto"/>
                <w:sz w:val="22"/>
                <w:szCs w:val="22"/>
                <w:highlight w:val="none"/>
              </w:rPr>
            </w:pPr>
          </w:p>
        </w:tc>
      </w:tr>
      <w:tr w14:paraId="34F4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49B36C5">
            <w:pPr>
              <w:spacing w:line="380" w:lineRule="exact"/>
              <w:jc w:val="center"/>
              <w:rPr>
                <w:rFonts w:ascii="宋体" w:hAnsi="宋体"/>
                <w:color w:val="auto"/>
                <w:sz w:val="22"/>
                <w:szCs w:val="22"/>
                <w:highlight w:val="none"/>
              </w:rPr>
            </w:pPr>
          </w:p>
        </w:tc>
        <w:tc>
          <w:tcPr>
            <w:tcW w:w="1364" w:type="dxa"/>
            <w:vAlign w:val="center"/>
          </w:tcPr>
          <w:p w14:paraId="5B10C078">
            <w:pPr>
              <w:spacing w:line="380" w:lineRule="exact"/>
              <w:jc w:val="center"/>
              <w:rPr>
                <w:rFonts w:ascii="宋体" w:hAnsi="宋体"/>
                <w:color w:val="auto"/>
                <w:sz w:val="22"/>
                <w:szCs w:val="22"/>
                <w:highlight w:val="none"/>
              </w:rPr>
            </w:pPr>
          </w:p>
        </w:tc>
        <w:tc>
          <w:tcPr>
            <w:tcW w:w="2097" w:type="dxa"/>
            <w:vAlign w:val="center"/>
          </w:tcPr>
          <w:p w14:paraId="2FC439BB">
            <w:pPr>
              <w:spacing w:line="380" w:lineRule="exact"/>
              <w:jc w:val="center"/>
              <w:rPr>
                <w:rFonts w:ascii="宋体" w:hAnsi="宋体"/>
                <w:color w:val="auto"/>
                <w:sz w:val="22"/>
                <w:szCs w:val="22"/>
                <w:highlight w:val="none"/>
              </w:rPr>
            </w:pPr>
          </w:p>
        </w:tc>
        <w:tc>
          <w:tcPr>
            <w:tcW w:w="1992" w:type="dxa"/>
            <w:vAlign w:val="center"/>
          </w:tcPr>
          <w:p w14:paraId="6BF368E8">
            <w:pPr>
              <w:spacing w:line="380" w:lineRule="exact"/>
              <w:jc w:val="center"/>
              <w:rPr>
                <w:rFonts w:ascii="宋体" w:hAnsi="宋体"/>
                <w:color w:val="auto"/>
                <w:sz w:val="22"/>
                <w:szCs w:val="22"/>
                <w:highlight w:val="none"/>
              </w:rPr>
            </w:pPr>
          </w:p>
        </w:tc>
        <w:tc>
          <w:tcPr>
            <w:tcW w:w="1866" w:type="dxa"/>
            <w:vAlign w:val="center"/>
          </w:tcPr>
          <w:p w14:paraId="6BF36739">
            <w:pPr>
              <w:spacing w:line="380" w:lineRule="exact"/>
              <w:jc w:val="center"/>
              <w:rPr>
                <w:rFonts w:ascii="宋体" w:hAnsi="宋体"/>
                <w:color w:val="auto"/>
                <w:sz w:val="22"/>
                <w:szCs w:val="22"/>
                <w:highlight w:val="none"/>
              </w:rPr>
            </w:pPr>
          </w:p>
        </w:tc>
        <w:tc>
          <w:tcPr>
            <w:tcW w:w="1592" w:type="dxa"/>
            <w:vAlign w:val="center"/>
          </w:tcPr>
          <w:p w14:paraId="74BE5E39">
            <w:pPr>
              <w:spacing w:line="380" w:lineRule="exact"/>
              <w:jc w:val="center"/>
              <w:rPr>
                <w:rFonts w:ascii="宋体" w:hAnsi="宋体"/>
                <w:color w:val="auto"/>
                <w:sz w:val="22"/>
                <w:szCs w:val="22"/>
                <w:highlight w:val="none"/>
              </w:rPr>
            </w:pPr>
          </w:p>
        </w:tc>
      </w:tr>
      <w:tr w14:paraId="00CB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B1E3508">
            <w:pPr>
              <w:spacing w:line="380" w:lineRule="exact"/>
              <w:jc w:val="center"/>
              <w:rPr>
                <w:rFonts w:ascii="宋体" w:hAnsi="宋体"/>
                <w:color w:val="auto"/>
                <w:sz w:val="22"/>
                <w:szCs w:val="22"/>
                <w:highlight w:val="none"/>
              </w:rPr>
            </w:pPr>
          </w:p>
        </w:tc>
        <w:tc>
          <w:tcPr>
            <w:tcW w:w="1364" w:type="dxa"/>
            <w:vAlign w:val="center"/>
          </w:tcPr>
          <w:p w14:paraId="0B47D28A">
            <w:pPr>
              <w:spacing w:line="380" w:lineRule="exact"/>
              <w:jc w:val="center"/>
              <w:rPr>
                <w:rFonts w:ascii="宋体" w:hAnsi="宋体"/>
                <w:color w:val="auto"/>
                <w:sz w:val="22"/>
                <w:szCs w:val="22"/>
                <w:highlight w:val="none"/>
              </w:rPr>
            </w:pPr>
          </w:p>
        </w:tc>
        <w:tc>
          <w:tcPr>
            <w:tcW w:w="2097" w:type="dxa"/>
            <w:vAlign w:val="center"/>
          </w:tcPr>
          <w:p w14:paraId="0AFE4809">
            <w:pPr>
              <w:spacing w:line="380" w:lineRule="exact"/>
              <w:jc w:val="center"/>
              <w:rPr>
                <w:rFonts w:ascii="宋体" w:hAnsi="宋体"/>
                <w:color w:val="auto"/>
                <w:sz w:val="22"/>
                <w:szCs w:val="22"/>
                <w:highlight w:val="none"/>
              </w:rPr>
            </w:pPr>
          </w:p>
        </w:tc>
        <w:tc>
          <w:tcPr>
            <w:tcW w:w="1992" w:type="dxa"/>
            <w:vAlign w:val="center"/>
          </w:tcPr>
          <w:p w14:paraId="59D6A654">
            <w:pPr>
              <w:spacing w:line="380" w:lineRule="exact"/>
              <w:jc w:val="center"/>
              <w:rPr>
                <w:rFonts w:ascii="宋体" w:hAnsi="宋体"/>
                <w:color w:val="auto"/>
                <w:sz w:val="22"/>
                <w:szCs w:val="22"/>
                <w:highlight w:val="none"/>
              </w:rPr>
            </w:pPr>
          </w:p>
        </w:tc>
        <w:tc>
          <w:tcPr>
            <w:tcW w:w="1866" w:type="dxa"/>
            <w:vAlign w:val="center"/>
          </w:tcPr>
          <w:p w14:paraId="0BF9527D">
            <w:pPr>
              <w:spacing w:line="380" w:lineRule="exact"/>
              <w:jc w:val="center"/>
              <w:rPr>
                <w:rFonts w:ascii="宋体" w:hAnsi="宋体"/>
                <w:color w:val="auto"/>
                <w:sz w:val="22"/>
                <w:szCs w:val="22"/>
                <w:highlight w:val="none"/>
              </w:rPr>
            </w:pPr>
          </w:p>
        </w:tc>
        <w:tc>
          <w:tcPr>
            <w:tcW w:w="1592" w:type="dxa"/>
            <w:vAlign w:val="center"/>
          </w:tcPr>
          <w:p w14:paraId="193E7CAA">
            <w:pPr>
              <w:spacing w:line="380" w:lineRule="exact"/>
              <w:jc w:val="center"/>
              <w:rPr>
                <w:rFonts w:ascii="宋体" w:hAnsi="宋体"/>
                <w:color w:val="auto"/>
                <w:sz w:val="22"/>
                <w:szCs w:val="22"/>
                <w:highlight w:val="none"/>
              </w:rPr>
            </w:pPr>
          </w:p>
        </w:tc>
      </w:tr>
      <w:tr w14:paraId="2CCD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F534D45">
            <w:pPr>
              <w:spacing w:line="380" w:lineRule="exact"/>
              <w:jc w:val="center"/>
              <w:rPr>
                <w:rFonts w:ascii="宋体" w:hAnsi="宋体"/>
                <w:color w:val="auto"/>
                <w:sz w:val="22"/>
                <w:szCs w:val="22"/>
                <w:highlight w:val="none"/>
              </w:rPr>
            </w:pPr>
          </w:p>
        </w:tc>
        <w:tc>
          <w:tcPr>
            <w:tcW w:w="1364" w:type="dxa"/>
            <w:vAlign w:val="center"/>
          </w:tcPr>
          <w:p w14:paraId="36680A1E">
            <w:pPr>
              <w:spacing w:line="380" w:lineRule="exact"/>
              <w:jc w:val="center"/>
              <w:rPr>
                <w:rFonts w:ascii="宋体" w:hAnsi="宋体"/>
                <w:color w:val="auto"/>
                <w:sz w:val="22"/>
                <w:szCs w:val="22"/>
                <w:highlight w:val="none"/>
              </w:rPr>
            </w:pPr>
          </w:p>
        </w:tc>
        <w:tc>
          <w:tcPr>
            <w:tcW w:w="2097" w:type="dxa"/>
            <w:vAlign w:val="center"/>
          </w:tcPr>
          <w:p w14:paraId="789B2E15">
            <w:pPr>
              <w:spacing w:line="380" w:lineRule="exact"/>
              <w:jc w:val="center"/>
              <w:rPr>
                <w:rFonts w:ascii="宋体" w:hAnsi="宋体"/>
                <w:color w:val="auto"/>
                <w:sz w:val="22"/>
                <w:szCs w:val="22"/>
                <w:highlight w:val="none"/>
              </w:rPr>
            </w:pPr>
          </w:p>
        </w:tc>
        <w:tc>
          <w:tcPr>
            <w:tcW w:w="1992" w:type="dxa"/>
            <w:vAlign w:val="center"/>
          </w:tcPr>
          <w:p w14:paraId="5A5253A4">
            <w:pPr>
              <w:spacing w:line="380" w:lineRule="exact"/>
              <w:jc w:val="center"/>
              <w:rPr>
                <w:rFonts w:ascii="宋体" w:hAnsi="宋体"/>
                <w:color w:val="auto"/>
                <w:sz w:val="22"/>
                <w:szCs w:val="22"/>
                <w:highlight w:val="none"/>
              </w:rPr>
            </w:pPr>
          </w:p>
        </w:tc>
        <w:tc>
          <w:tcPr>
            <w:tcW w:w="1866" w:type="dxa"/>
            <w:vAlign w:val="center"/>
          </w:tcPr>
          <w:p w14:paraId="085CF7DD">
            <w:pPr>
              <w:spacing w:line="380" w:lineRule="exact"/>
              <w:jc w:val="center"/>
              <w:rPr>
                <w:rFonts w:ascii="宋体" w:hAnsi="宋体"/>
                <w:color w:val="auto"/>
                <w:sz w:val="22"/>
                <w:szCs w:val="22"/>
                <w:highlight w:val="none"/>
              </w:rPr>
            </w:pPr>
          </w:p>
        </w:tc>
        <w:tc>
          <w:tcPr>
            <w:tcW w:w="1592" w:type="dxa"/>
            <w:vAlign w:val="center"/>
          </w:tcPr>
          <w:p w14:paraId="769499A6">
            <w:pPr>
              <w:spacing w:line="380" w:lineRule="exact"/>
              <w:jc w:val="center"/>
              <w:rPr>
                <w:rFonts w:ascii="宋体" w:hAnsi="宋体"/>
                <w:color w:val="auto"/>
                <w:sz w:val="22"/>
                <w:szCs w:val="22"/>
                <w:highlight w:val="none"/>
              </w:rPr>
            </w:pPr>
          </w:p>
        </w:tc>
      </w:tr>
      <w:tr w14:paraId="70CF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0498AAE">
            <w:pPr>
              <w:spacing w:line="380" w:lineRule="exact"/>
              <w:jc w:val="center"/>
              <w:rPr>
                <w:rFonts w:ascii="宋体" w:hAnsi="宋体"/>
                <w:color w:val="auto"/>
                <w:sz w:val="22"/>
                <w:szCs w:val="22"/>
                <w:highlight w:val="none"/>
              </w:rPr>
            </w:pPr>
          </w:p>
        </w:tc>
        <w:tc>
          <w:tcPr>
            <w:tcW w:w="1364" w:type="dxa"/>
            <w:vAlign w:val="center"/>
          </w:tcPr>
          <w:p w14:paraId="453319ED">
            <w:pPr>
              <w:spacing w:line="380" w:lineRule="exact"/>
              <w:jc w:val="center"/>
              <w:rPr>
                <w:rFonts w:ascii="宋体" w:hAnsi="宋体"/>
                <w:color w:val="auto"/>
                <w:sz w:val="22"/>
                <w:szCs w:val="22"/>
                <w:highlight w:val="none"/>
              </w:rPr>
            </w:pPr>
          </w:p>
        </w:tc>
        <w:tc>
          <w:tcPr>
            <w:tcW w:w="2097" w:type="dxa"/>
            <w:vAlign w:val="center"/>
          </w:tcPr>
          <w:p w14:paraId="384F0D26">
            <w:pPr>
              <w:spacing w:line="380" w:lineRule="exact"/>
              <w:jc w:val="center"/>
              <w:rPr>
                <w:rFonts w:ascii="宋体" w:hAnsi="宋体"/>
                <w:color w:val="auto"/>
                <w:sz w:val="22"/>
                <w:szCs w:val="22"/>
                <w:highlight w:val="none"/>
              </w:rPr>
            </w:pPr>
          </w:p>
        </w:tc>
        <w:tc>
          <w:tcPr>
            <w:tcW w:w="1992" w:type="dxa"/>
            <w:vAlign w:val="center"/>
          </w:tcPr>
          <w:p w14:paraId="4BF0D57A">
            <w:pPr>
              <w:spacing w:line="380" w:lineRule="exact"/>
              <w:jc w:val="center"/>
              <w:rPr>
                <w:rFonts w:ascii="宋体" w:hAnsi="宋体"/>
                <w:color w:val="auto"/>
                <w:sz w:val="22"/>
                <w:szCs w:val="22"/>
                <w:highlight w:val="none"/>
              </w:rPr>
            </w:pPr>
          </w:p>
        </w:tc>
        <w:tc>
          <w:tcPr>
            <w:tcW w:w="1866" w:type="dxa"/>
            <w:vAlign w:val="center"/>
          </w:tcPr>
          <w:p w14:paraId="63E90705">
            <w:pPr>
              <w:spacing w:line="380" w:lineRule="exact"/>
              <w:jc w:val="center"/>
              <w:rPr>
                <w:rFonts w:ascii="宋体" w:hAnsi="宋体"/>
                <w:color w:val="auto"/>
                <w:sz w:val="22"/>
                <w:szCs w:val="22"/>
                <w:highlight w:val="none"/>
              </w:rPr>
            </w:pPr>
          </w:p>
        </w:tc>
        <w:tc>
          <w:tcPr>
            <w:tcW w:w="1592" w:type="dxa"/>
            <w:vAlign w:val="center"/>
          </w:tcPr>
          <w:p w14:paraId="6BFA501A">
            <w:pPr>
              <w:spacing w:line="380" w:lineRule="exact"/>
              <w:jc w:val="center"/>
              <w:rPr>
                <w:rFonts w:ascii="宋体" w:hAnsi="宋体"/>
                <w:color w:val="auto"/>
                <w:sz w:val="22"/>
                <w:szCs w:val="22"/>
                <w:highlight w:val="none"/>
              </w:rPr>
            </w:pPr>
          </w:p>
        </w:tc>
      </w:tr>
    </w:tbl>
    <w:p w14:paraId="359804D6">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5634435E">
      <w:pPr>
        <w:spacing w:line="380" w:lineRule="exact"/>
        <w:ind w:firstLine="4417" w:firstLineChars="2000"/>
        <w:rPr>
          <w:rFonts w:ascii="宋体" w:hAnsi="宋体"/>
          <w:b/>
          <w:color w:val="auto"/>
          <w:sz w:val="22"/>
          <w:szCs w:val="22"/>
          <w:highlight w:val="none"/>
        </w:rPr>
      </w:pPr>
    </w:p>
    <w:p w14:paraId="47A7EE17">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21B6ABCF">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32DDDF52">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32E74BB9">
      <w:pPr>
        <w:spacing w:line="400" w:lineRule="exact"/>
        <w:rPr>
          <w:rFonts w:ascii="宋体" w:hAnsi="宋体"/>
          <w:color w:val="auto"/>
          <w:sz w:val="22"/>
          <w:szCs w:val="22"/>
          <w:highlight w:val="none"/>
        </w:rPr>
      </w:pPr>
    </w:p>
    <w:p w14:paraId="3099729A">
      <w:pPr>
        <w:spacing w:line="460" w:lineRule="exact"/>
        <w:rPr>
          <w:rFonts w:ascii="宋体" w:hAnsi="宋体"/>
          <w:b/>
          <w:color w:val="auto"/>
          <w:sz w:val="22"/>
          <w:szCs w:val="22"/>
          <w:highlight w:val="none"/>
        </w:rPr>
      </w:pPr>
      <w:r>
        <w:rPr>
          <w:rFonts w:hint="eastAsia" w:ascii="宋体" w:hAnsi="宋体"/>
          <w:color w:val="auto"/>
          <w:highlight w:val="none"/>
        </w:rPr>
        <w:br w:type="page"/>
      </w:r>
    </w:p>
    <w:p w14:paraId="2F93FD70">
      <w:pPr>
        <w:rPr>
          <w:rFonts w:ascii="宋体" w:hAnsi="宋体"/>
          <w:b/>
          <w:color w:val="auto"/>
          <w:sz w:val="22"/>
          <w:highlight w:val="none"/>
        </w:rPr>
      </w:pPr>
      <w:r>
        <w:rPr>
          <w:rFonts w:hint="eastAsia" w:ascii="宋体" w:hAnsi="宋体"/>
          <w:b/>
          <w:color w:val="auto"/>
          <w:sz w:val="22"/>
          <w:szCs w:val="22"/>
          <w:highlight w:val="none"/>
        </w:rPr>
        <w:t>附件五</w:t>
      </w:r>
    </w:p>
    <w:p w14:paraId="09033EC1">
      <w:pPr>
        <w:spacing w:line="380" w:lineRule="exact"/>
        <w:ind w:firstLine="787" w:firstLineChars="245"/>
        <w:jc w:val="center"/>
        <w:rPr>
          <w:rFonts w:ascii="宋体" w:hAnsi="宋体" w:cs="hakuyoxingshu7000"/>
          <w:b/>
          <w:bCs/>
          <w:color w:val="auto"/>
          <w:sz w:val="32"/>
          <w:szCs w:val="32"/>
          <w:highlight w:val="none"/>
        </w:rPr>
      </w:pPr>
      <w:r>
        <w:rPr>
          <w:rFonts w:hint="eastAsia" w:ascii="宋体" w:hAnsi="宋体" w:cs="hakuyoxingshu7000"/>
          <w:b/>
          <w:bCs/>
          <w:color w:val="auto"/>
          <w:sz w:val="32"/>
          <w:szCs w:val="32"/>
          <w:highlight w:val="none"/>
        </w:rPr>
        <w:t>供货范围详细清单</w:t>
      </w:r>
    </w:p>
    <w:p w14:paraId="07375B54">
      <w:pPr>
        <w:spacing w:line="380" w:lineRule="exact"/>
        <w:ind w:firstLine="784" w:firstLineChars="245"/>
        <w:jc w:val="center"/>
        <w:rPr>
          <w:rFonts w:ascii="宋体" w:hAnsi="宋体" w:cs="hakuyoxingshu7000"/>
          <w:color w:val="auto"/>
          <w:sz w:val="32"/>
          <w:szCs w:val="32"/>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804"/>
        <w:gridCol w:w="1141"/>
        <w:gridCol w:w="911"/>
        <w:gridCol w:w="1592"/>
        <w:gridCol w:w="1360"/>
      </w:tblGrid>
      <w:tr w14:paraId="3B63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Borders>
              <w:top w:val="single" w:color="auto" w:sz="12" w:space="0"/>
              <w:bottom w:val="single" w:color="auto" w:sz="12" w:space="0"/>
            </w:tcBorders>
          </w:tcPr>
          <w:p w14:paraId="384C5F71">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930" w:type="pct"/>
            <w:tcBorders>
              <w:top w:val="single" w:color="auto" w:sz="12" w:space="0"/>
              <w:bottom w:val="single" w:color="auto" w:sz="12" w:space="0"/>
            </w:tcBorders>
            <w:vAlign w:val="center"/>
          </w:tcPr>
          <w:p w14:paraId="2DD05D13">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产品名称</w:t>
            </w:r>
          </w:p>
        </w:tc>
        <w:tc>
          <w:tcPr>
            <w:tcW w:w="579" w:type="pct"/>
            <w:tcBorders>
              <w:top w:val="single" w:color="auto" w:sz="12" w:space="0"/>
              <w:bottom w:val="single" w:color="auto" w:sz="12" w:space="0"/>
            </w:tcBorders>
            <w:vAlign w:val="center"/>
          </w:tcPr>
          <w:p w14:paraId="4D69996F">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462" w:type="pct"/>
            <w:tcBorders>
              <w:top w:val="single" w:color="auto" w:sz="12" w:space="0"/>
              <w:bottom w:val="single" w:color="auto" w:sz="12" w:space="0"/>
            </w:tcBorders>
            <w:vAlign w:val="center"/>
          </w:tcPr>
          <w:p w14:paraId="6B57B04B">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808" w:type="pct"/>
            <w:tcBorders>
              <w:top w:val="single" w:color="auto" w:sz="12" w:space="0"/>
              <w:bottom w:val="single" w:color="auto" w:sz="12" w:space="0"/>
            </w:tcBorders>
            <w:vAlign w:val="center"/>
          </w:tcPr>
          <w:p w14:paraId="4C7D88A9">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质保期限</w:t>
            </w:r>
          </w:p>
        </w:tc>
        <w:tc>
          <w:tcPr>
            <w:tcW w:w="690" w:type="pct"/>
            <w:tcBorders>
              <w:top w:val="single" w:color="auto" w:sz="12" w:space="0"/>
              <w:bottom w:val="single" w:color="auto" w:sz="12" w:space="0"/>
              <w:right w:val="single" w:color="auto" w:sz="12" w:space="0"/>
            </w:tcBorders>
            <w:vAlign w:val="center"/>
          </w:tcPr>
          <w:p w14:paraId="0FAFFEB7">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37B4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Borders>
              <w:top w:val="single" w:color="auto" w:sz="12" w:space="0"/>
            </w:tcBorders>
          </w:tcPr>
          <w:p w14:paraId="018083F2">
            <w:pPr>
              <w:spacing w:line="400" w:lineRule="exact"/>
              <w:jc w:val="center"/>
              <w:rPr>
                <w:rFonts w:ascii="宋体" w:hAnsi="宋体"/>
                <w:bCs/>
                <w:color w:val="auto"/>
                <w:sz w:val="22"/>
                <w:szCs w:val="22"/>
                <w:highlight w:val="none"/>
              </w:rPr>
            </w:pPr>
          </w:p>
        </w:tc>
        <w:tc>
          <w:tcPr>
            <w:tcW w:w="1930" w:type="pct"/>
            <w:tcBorders>
              <w:top w:val="single" w:color="auto" w:sz="12" w:space="0"/>
            </w:tcBorders>
            <w:vAlign w:val="center"/>
          </w:tcPr>
          <w:p w14:paraId="6596DD62">
            <w:pPr>
              <w:spacing w:line="400" w:lineRule="exact"/>
              <w:jc w:val="center"/>
              <w:rPr>
                <w:rFonts w:ascii="宋体" w:hAnsi="宋体"/>
                <w:bCs/>
                <w:color w:val="auto"/>
                <w:sz w:val="22"/>
                <w:szCs w:val="22"/>
                <w:highlight w:val="none"/>
              </w:rPr>
            </w:pPr>
          </w:p>
        </w:tc>
        <w:tc>
          <w:tcPr>
            <w:tcW w:w="579" w:type="pct"/>
            <w:tcBorders>
              <w:top w:val="single" w:color="auto" w:sz="12" w:space="0"/>
            </w:tcBorders>
            <w:vAlign w:val="center"/>
          </w:tcPr>
          <w:p w14:paraId="1D36D22F">
            <w:pPr>
              <w:spacing w:line="400" w:lineRule="exact"/>
              <w:jc w:val="center"/>
              <w:rPr>
                <w:rFonts w:ascii="宋体" w:hAnsi="宋体"/>
                <w:bCs/>
                <w:color w:val="auto"/>
                <w:sz w:val="22"/>
                <w:szCs w:val="22"/>
                <w:highlight w:val="none"/>
              </w:rPr>
            </w:pPr>
          </w:p>
        </w:tc>
        <w:tc>
          <w:tcPr>
            <w:tcW w:w="462" w:type="pct"/>
            <w:tcBorders>
              <w:top w:val="single" w:color="auto" w:sz="12" w:space="0"/>
            </w:tcBorders>
            <w:vAlign w:val="center"/>
          </w:tcPr>
          <w:p w14:paraId="185D8A46">
            <w:pPr>
              <w:spacing w:line="400" w:lineRule="exact"/>
              <w:jc w:val="center"/>
              <w:rPr>
                <w:rFonts w:ascii="宋体" w:hAnsi="宋体"/>
                <w:bCs/>
                <w:color w:val="auto"/>
                <w:sz w:val="22"/>
                <w:szCs w:val="22"/>
                <w:highlight w:val="none"/>
              </w:rPr>
            </w:pPr>
          </w:p>
        </w:tc>
        <w:tc>
          <w:tcPr>
            <w:tcW w:w="808" w:type="pct"/>
            <w:tcBorders>
              <w:top w:val="single" w:color="auto" w:sz="12" w:space="0"/>
              <w:right w:val="single" w:color="auto" w:sz="4" w:space="0"/>
            </w:tcBorders>
            <w:vAlign w:val="center"/>
          </w:tcPr>
          <w:p w14:paraId="4A5BA697">
            <w:pPr>
              <w:spacing w:line="400" w:lineRule="exact"/>
              <w:jc w:val="center"/>
              <w:rPr>
                <w:rFonts w:ascii="宋体" w:hAnsi="宋体"/>
                <w:bCs/>
                <w:color w:val="auto"/>
                <w:sz w:val="22"/>
                <w:szCs w:val="22"/>
                <w:highlight w:val="none"/>
              </w:rPr>
            </w:pPr>
          </w:p>
        </w:tc>
        <w:tc>
          <w:tcPr>
            <w:tcW w:w="690" w:type="pct"/>
            <w:tcBorders>
              <w:top w:val="single" w:color="auto" w:sz="12" w:space="0"/>
              <w:left w:val="single" w:color="auto" w:sz="4" w:space="0"/>
              <w:right w:val="single" w:color="auto" w:sz="12" w:space="0"/>
            </w:tcBorders>
            <w:vAlign w:val="center"/>
          </w:tcPr>
          <w:p w14:paraId="36720B1E">
            <w:pPr>
              <w:spacing w:line="400" w:lineRule="exact"/>
              <w:jc w:val="center"/>
              <w:rPr>
                <w:rFonts w:ascii="宋体" w:hAnsi="宋体"/>
                <w:bCs/>
                <w:color w:val="auto"/>
                <w:sz w:val="22"/>
                <w:szCs w:val="22"/>
                <w:highlight w:val="none"/>
              </w:rPr>
            </w:pPr>
          </w:p>
        </w:tc>
      </w:tr>
      <w:tr w14:paraId="5BAF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69D10EA">
            <w:pPr>
              <w:spacing w:line="400" w:lineRule="exact"/>
              <w:jc w:val="center"/>
              <w:rPr>
                <w:rFonts w:ascii="宋体" w:hAnsi="宋体"/>
                <w:bCs/>
                <w:color w:val="auto"/>
                <w:sz w:val="22"/>
                <w:szCs w:val="22"/>
                <w:highlight w:val="none"/>
              </w:rPr>
            </w:pPr>
          </w:p>
        </w:tc>
        <w:tc>
          <w:tcPr>
            <w:tcW w:w="1930" w:type="pct"/>
            <w:vAlign w:val="center"/>
          </w:tcPr>
          <w:p w14:paraId="210FA79C">
            <w:pPr>
              <w:spacing w:line="400" w:lineRule="exact"/>
              <w:jc w:val="center"/>
              <w:rPr>
                <w:rFonts w:ascii="宋体" w:hAnsi="宋体"/>
                <w:bCs/>
                <w:color w:val="auto"/>
                <w:sz w:val="22"/>
                <w:szCs w:val="22"/>
                <w:highlight w:val="none"/>
              </w:rPr>
            </w:pPr>
          </w:p>
        </w:tc>
        <w:tc>
          <w:tcPr>
            <w:tcW w:w="579" w:type="pct"/>
            <w:vAlign w:val="center"/>
          </w:tcPr>
          <w:p w14:paraId="32AB3177">
            <w:pPr>
              <w:spacing w:line="400" w:lineRule="exact"/>
              <w:jc w:val="center"/>
              <w:rPr>
                <w:rFonts w:ascii="宋体" w:hAnsi="宋体"/>
                <w:bCs/>
                <w:color w:val="auto"/>
                <w:sz w:val="22"/>
                <w:szCs w:val="22"/>
                <w:highlight w:val="none"/>
              </w:rPr>
            </w:pPr>
          </w:p>
        </w:tc>
        <w:tc>
          <w:tcPr>
            <w:tcW w:w="462" w:type="pct"/>
            <w:vAlign w:val="center"/>
          </w:tcPr>
          <w:p w14:paraId="300E3C2C">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F45A222">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7F449AB1">
            <w:pPr>
              <w:spacing w:line="400" w:lineRule="exact"/>
              <w:jc w:val="center"/>
              <w:rPr>
                <w:rFonts w:ascii="宋体" w:hAnsi="宋体"/>
                <w:bCs/>
                <w:color w:val="auto"/>
                <w:sz w:val="22"/>
                <w:szCs w:val="22"/>
                <w:highlight w:val="none"/>
              </w:rPr>
            </w:pPr>
          </w:p>
        </w:tc>
      </w:tr>
      <w:tr w14:paraId="6AA3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E22E7B4">
            <w:pPr>
              <w:spacing w:line="400" w:lineRule="exact"/>
              <w:jc w:val="center"/>
              <w:rPr>
                <w:rFonts w:ascii="宋体" w:hAnsi="宋体"/>
                <w:bCs/>
                <w:color w:val="auto"/>
                <w:sz w:val="22"/>
                <w:szCs w:val="22"/>
                <w:highlight w:val="none"/>
              </w:rPr>
            </w:pPr>
          </w:p>
        </w:tc>
        <w:tc>
          <w:tcPr>
            <w:tcW w:w="1930" w:type="pct"/>
            <w:vAlign w:val="center"/>
          </w:tcPr>
          <w:p w14:paraId="348A627C">
            <w:pPr>
              <w:spacing w:line="400" w:lineRule="exact"/>
              <w:jc w:val="center"/>
              <w:rPr>
                <w:rFonts w:ascii="宋体" w:hAnsi="宋体"/>
                <w:bCs/>
                <w:color w:val="auto"/>
                <w:sz w:val="22"/>
                <w:szCs w:val="22"/>
                <w:highlight w:val="none"/>
              </w:rPr>
            </w:pPr>
          </w:p>
        </w:tc>
        <w:tc>
          <w:tcPr>
            <w:tcW w:w="579" w:type="pct"/>
            <w:vAlign w:val="center"/>
          </w:tcPr>
          <w:p w14:paraId="45D32665">
            <w:pPr>
              <w:spacing w:line="400" w:lineRule="exact"/>
              <w:jc w:val="center"/>
              <w:rPr>
                <w:rFonts w:ascii="宋体" w:hAnsi="宋体"/>
                <w:bCs/>
                <w:color w:val="auto"/>
                <w:sz w:val="22"/>
                <w:szCs w:val="22"/>
                <w:highlight w:val="none"/>
              </w:rPr>
            </w:pPr>
          </w:p>
        </w:tc>
        <w:tc>
          <w:tcPr>
            <w:tcW w:w="462" w:type="pct"/>
            <w:vAlign w:val="center"/>
          </w:tcPr>
          <w:p w14:paraId="42A67EC9">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72D5B9DA">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7419F312">
            <w:pPr>
              <w:spacing w:line="400" w:lineRule="exact"/>
              <w:jc w:val="center"/>
              <w:rPr>
                <w:rFonts w:ascii="宋体" w:hAnsi="宋体"/>
                <w:bCs/>
                <w:color w:val="auto"/>
                <w:sz w:val="22"/>
                <w:szCs w:val="22"/>
                <w:highlight w:val="none"/>
              </w:rPr>
            </w:pPr>
          </w:p>
        </w:tc>
      </w:tr>
      <w:tr w14:paraId="2C21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0A199C6B">
            <w:pPr>
              <w:spacing w:line="400" w:lineRule="exact"/>
              <w:jc w:val="center"/>
              <w:rPr>
                <w:rFonts w:ascii="宋体" w:hAnsi="宋体"/>
                <w:bCs/>
                <w:color w:val="auto"/>
                <w:sz w:val="22"/>
                <w:szCs w:val="22"/>
                <w:highlight w:val="none"/>
              </w:rPr>
            </w:pPr>
          </w:p>
        </w:tc>
        <w:tc>
          <w:tcPr>
            <w:tcW w:w="1930" w:type="pct"/>
            <w:vAlign w:val="center"/>
          </w:tcPr>
          <w:p w14:paraId="624CE36A">
            <w:pPr>
              <w:spacing w:line="400" w:lineRule="exact"/>
              <w:jc w:val="center"/>
              <w:rPr>
                <w:rFonts w:ascii="宋体" w:hAnsi="宋体"/>
                <w:bCs/>
                <w:color w:val="auto"/>
                <w:sz w:val="22"/>
                <w:szCs w:val="22"/>
                <w:highlight w:val="none"/>
              </w:rPr>
            </w:pPr>
          </w:p>
        </w:tc>
        <w:tc>
          <w:tcPr>
            <w:tcW w:w="579" w:type="pct"/>
            <w:vAlign w:val="center"/>
          </w:tcPr>
          <w:p w14:paraId="676D5D82">
            <w:pPr>
              <w:spacing w:line="400" w:lineRule="exact"/>
              <w:jc w:val="center"/>
              <w:rPr>
                <w:rFonts w:ascii="宋体" w:hAnsi="宋体"/>
                <w:bCs/>
                <w:color w:val="auto"/>
                <w:sz w:val="22"/>
                <w:szCs w:val="22"/>
                <w:highlight w:val="none"/>
              </w:rPr>
            </w:pPr>
          </w:p>
        </w:tc>
        <w:tc>
          <w:tcPr>
            <w:tcW w:w="462" w:type="pct"/>
            <w:vAlign w:val="center"/>
          </w:tcPr>
          <w:p w14:paraId="37C2A0AC">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676975C">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1919E1A2">
            <w:pPr>
              <w:spacing w:line="400" w:lineRule="exact"/>
              <w:jc w:val="center"/>
              <w:rPr>
                <w:rFonts w:ascii="宋体" w:hAnsi="宋体"/>
                <w:bCs/>
                <w:color w:val="auto"/>
                <w:sz w:val="22"/>
                <w:szCs w:val="22"/>
                <w:highlight w:val="none"/>
              </w:rPr>
            </w:pPr>
          </w:p>
        </w:tc>
      </w:tr>
      <w:tr w14:paraId="7E3D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2086DA0">
            <w:pPr>
              <w:spacing w:line="400" w:lineRule="exact"/>
              <w:jc w:val="center"/>
              <w:rPr>
                <w:rFonts w:ascii="宋体" w:hAnsi="宋体"/>
                <w:bCs/>
                <w:color w:val="auto"/>
                <w:sz w:val="22"/>
                <w:szCs w:val="22"/>
                <w:highlight w:val="none"/>
              </w:rPr>
            </w:pPr>
          </w:p>
        </w:tc>
        <w:tc>
          <w:tcPr>
            <w:tcW w:w="1930" w:type="pct"/>
            <w:vAlign w:val="center"/>
          </w:tcPr>
          <w:p w14:paraId="0A627C77">
            <w:pPr>
              <w:spacing w:line="400" w:lineRule="exact"/>
              <w:jc w:val="center"/>
              <w:rPr>
                <w:rFonts w:ascii="宋体" w:hAnsi="宋体"/>
                <w:bCs/>
                <w:color w:val="auto"/>
                <w:sz w:val="22"/>
                <w:szCs w:val="22"/>
                <w:highlight w:val="none"/>
              </w:rPr>
            </w:pPr>
          </w:p>
        </w:tc>
        <w:tc>
          <w:tcPr>
            <w:tcW w:w="579" w:type="pct"/>
            <w:vAlign w:val="center"/>
          </w:tcPr>
          <w:p w14:paraId="2C23FE93">
            <w:pPr>
              <w:spacing w:line="400" w:lineRule="exact"/>
              <w:jc w:val="center"/>
              <w:rPr>
                <w:rFonts w:ascii="宋体" w:hAnsi="宋体"/>
                <w:bCs/>
                <w:color w:val="auto"/>
                <w:sz w:val="22"/>
                <w:szCs w:val="22"/>
                <w:highlight w:val="none"/>
              </w:rPr>
            </w:pPr>
          </w:p>
        </w:tc>
        <w:tc>
          <w:tcPr>
            <w:tcW w:w="462" w:type="pct"/>
            <w:vAlign w:val="center"/>
          </w:tcPr>
          <w:p w14:paraId="49733CC0">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693BE7AC">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755FB166">
            <w:pPr>
              <w:spacing w:line="400" w:lineRule="exact"/>
              <w:jc w:val="center"/>
              <w:rPr>
                <w:rFonts w:ascii="宋体" w:hAnsi="宋体"/>
                <w:bCs/>
                <w:color w:val="auto"/>
                <w:sz w:val="22"/>
                <w:szCs w:val="22"/>
                <w:highlight w:val="none"/>
              </w:rPr>
            </w:pPr>
          </w:p>
        </w:tc>
      </w:tr>
      <w:tr w14:paraId="1C6C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2ADC73CC">
            <w:pPr>
              <w:spacing w:line="400" w:lineRule="exact"/>
              <w:jc w:val="center"/>
              <w:rPr>
                <w:rFonts w:ascii="宋体" w:hAnsi="宋体"/>
                <w:bCs/>
                <w:color w:val="auto"/>
                <w:sz w:val="22"/>
                <w:szCs w:val="22"/>
                <w:highlight w:val="none"/>
              </w:rPr>
            </w:pPr>
          </w:p>
        </w:tc>
        <w:tc>
          <w:tcPr>
            <w:tcW w:w="1930" w:type="pct"/>
            <w:vAlign w:val="center"/>
          </w:tcPr>
          <w:p w14:paraId="3482AD70">
            <w:pPr>
              <w:spacing w:line="400" w:lineRule="exact"/>
              <w:jc w:val="center"/>
              <w:rPr>
                <w:rFonts w:ascii="宋体" w:hAnsi="宋体"/>
                <w:bCs/>
                <w:color w:val="auto"/>
                <w:sz w:val="22"/>
                <w:szCs w:val="22"/>
                <w:highlight w:val="none"/>
              </w:rPr>
            </w:pPr>
          </w:p>
        </w:tc>
        <w:tc>
          <w:tcPr>
            <w:tcW w:w="579" w:type="pct"/>
            <w:vAlign w:val="center"/>
          </w:tcPr>
          <w:p w14:paraId="3F7EDD39">
            <w:pPr>
              <w:spacing w:line="400" w:lineRule="exact"/>
              <w:jc w:val="center"/>
              <w:rPr>
                <w:rFonts w:ascii="宋体" w:hAnsi="宋体"/>
                <w:bCs/>
                <w:color w:val="auto"/>
                <w:sz w:val="22"/>
                <w:szCs w:val="22"/>
                <w:highlight w:val="none"/>
              </w:rPr>
            </w:pPr>
          </w:p>
        </w:tc>
        <w:tc>
          <w:tcPr>
            <w:tcW w:w="462" w:type="pct"/>
            <w:vAlign w:val="center"/>
          </w:tcPr>
          <w:p w14:paraId="11FA9974">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6520AEA">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2F8AD515">
            <w:pPr>
              <w:spacing w:line="400" w:lineRule="exact"/>
              <w:jc w:val="center"/>
              <w:rPr>
                <w:rFonts w:ascii="宋体" w:hAnsi="宋体"/>
                <w:bCs/>
                <w:color w:val="auto"/>
                <w:sz w:val="22"/>
                <w:szCs w:val="22"/>
                <w:highlight w:val="none"/>
              </w:rPr>
            </w:pPr>
          </w:p>
        </w:tc>
      </w:tr>
      <w:tr w14:paraId="355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63FE09FB">
            <w:pPr>
              <w:spacing w:line="400" w:lineRule="exact"/>
              <w:jc w:val="center"/>
              <w:rPr>
                <w:rFonts w:ascii="宋体" w:hAnsi="宋体"/>
                <w:bCs/>
                <w:color w:val="auto"/>
                <w:sz w:val="22"/>
                <w:szCs w:val="22"/>
                <w:highlight w:val="none"/>
              </w:rPr>
            </w:pPr>
          </w:p>
        </w:tc>
        <w:tc>
          <w:tcPr>
            <w:tcW w:w="1930" w:type="pct"/>
            <w:vAlign w:val="center"/>
          </w:tcPr>
          <w:p w14:paraId="25305561">
            <w:pPr>
              <w:spacing w:line="400" w:lineRule="exact"/>
              <w:jc w:val="center"/>
              <w:rPr>
                <w:rFonts w:ascii="宋体" w:hAnsi="宋体"/>
                <w:bCs/>
                <w:color w:val="auto"/>
                <w:sz w:val="22"/>
                <w:szCs w:val="22"/>
                <w:highlight w:val="none"/>
              </w:rPr>
            </w:pPr>
          </w:p>
        </w:tc>
        <w:tc>
          <w:tcPr>
            <w:tcW w:w="579" w:type="pct"/>
            <w:vAlign w:val="center"/>
          </w:tcPr>
          <w:p w14:paraId="491A972B">
            <w:pPr>
              <w:spacing w:line="400" w:lineRule="exact"/>
              <w:jc w:val="center"/>
              <w:rPr>
                <w:rFonts w:ascii="宋体" w:hAnsi="宋体"/>
                <w:bCs/>
                <w:color w:val="auto"/>
                <w:sz w:val="22"/>
                <w:szCs w:val="22"/>
                <w:highlight w:val="none"/>
              </w:rPr>
            </w:pPr>
          </w:p>
        </w:tc>
        <w:tc>
          <w:tcPr>
            <w:tcW w:w="462" w:type="pct"/>
            <w:vAlign w:val="center"/>
          </w:tcPr>
          <w:p w14:paraId="3FC0E006">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B9F9C93">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3D58F26D">
            <w:pPr>
              <w:spacing w:line="400" w:lineRule="exact"/>
              <w:jc w:val="center"/>
              <w:rPr>
                <w:rFonts w:ascii="宋体" w:hAnsi="宋体"/>
                <w:bCs/>
                <w:color w:val="auto"/>
                <w:sz w:val="22"/>
                <w:szCs w:val="22"/>
                <w:highlight w:val="none"/>
              </w:rPr>
            </w:pPr>
          </w:p>
        </w:tc>
      </w:tr>
      <w:tr w14:paraId="245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D41CE6C">
            <w:pPr>
              <w:spacing w:line="400" w:lineRule="exact"/>
              <w:jc w:val="center"/>
              <w:rPr>
                <w:rFonts w:ascii="宋体" w:hAnsi="宋体"/>
                <w:bCs/>
                <w:color w:val="auto"/>
                <w:sz w:val="22"/>
                <w:szCs w:val="22"/>
                <w:highlight w:val="none"/>
              </w:rPr>
            </w:pPr>
          </w:p>
        </w:tc>
        <w:tc>
          <w:tcPr>
            <w:tcW w:w="1930" w:type="pct"/>
            <w:vAlign w:val="center"/>
          </w:tcPr>
          <w:p w14:paraId="4173811B">
            <w:pPr>
              <w:spacing w:line="400" w:lineRule="exact"/>
              <w:jc w:val="center"/>
              <w:rPr>
                <w:rFonts w:ascii="宋体" w:hAnsi="宋体"/>
                <w:bCs/>
                <w:color w:val="auto"/>
                <w:sz w:val="22"/>
                <w:szCs w:val="22"/>
                <w:highlight w:val="none"/>
              </w:rPr>
            </w:pPr>
          </w:p>
        </w:tc>
        <w:tc>
          <w:tcPr>
            <w:tcW w:w="579" w:type="pct"/>
            <w:vAlign w:val="center"/>
          </w:tcPr>
          <w:p w14:paraId="5DE37A28">
            <w:pPr>
              <w:spacing w:line="400" w:lineRule="exact"/>
              <w:jc w:val="center"/>
              <w:rPr>
                <w:rFonts w:ascii="宋体" w:hAnsi="宋体"/>
                <w:bCs/>
                <w:color w:val="auto"/>
                <w:sz w:val="22"/>
                <w:szCs w:val="22"/>
                <w:highlight w:val="none"/>
              </w:rPr>
            </w:pPr>
          </w:p>
        </w:tc>
        <w:tc>
          <w:tcPr>
            <w:tcW w:w="462" w:type="pct"/>
            <w:vAlign w:val="center"/>
          </w:tcPr>
          <w:p w14:paraId="7BF543A7">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226CE9B1">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66AD010E">
            <w:pPr>
              <w:spacing w:line="400" w:lineRule="exact"/>
              <w:jc w:val="center"/>
              <w:rPr>
                <w:rFonts w:ascii="宋体" w:hAnsi="宋体"/>
                <w:bCs/>
                <w:color w:val="auto"/>
                <w:sz w:val="22"/>
                <w:szCs w:val="22"/>
                <w:highlight w:val="none"/>
              </w:rPr>
            </w:pPr>
          </w:p>
        </w:tc>
      </w:tr>
      <w:tr w14:paraId="00BF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771AD6FC">
            <w:pPr>
              <w:spacing w:line="400" w:lineRule="exact"/>
              <w:jc w:val="center"/>
              <w:rPr>
                <w:rFonts w:ascii="宋体" w:hAnsi="宋体"/>
                <w:bCs/>
                <w:color w:val="auto"/>
                <w:sz w:val="22"/>
                <w:szCs w:val="22"/>
                <w:highlight w:val="none"/>
              </w:rPr>
            </w:pPr>
          </w:p>
        </w:tc>
        <w:tc>
          <w:tcPr>
            <w:tcW w:w="1930" w:type="pct"/>
            <w:vAlign w:val="center"/>
          </w:tcPr>
          <w:p w14:paraId="00F61FBE">
            <w:pPr>
              <w:spacing w:line="400" w:lineRule="exact"/>
              <w:jc w:val="center"/>
              <w:rPr>
                <w:rFonts w:ascii="宋体" w:hAnsi="宋体"/>
                <w:bCs/>
                <w:color w:val="auto"/>
                <w:sz w:val="22"/>
                <w:szCs w:val="22"/>
                <w:highlight w:val="none"/>
              </w:rPr>
            </w:pPr>
          </w:p>
        </w:tc>
        <w:tc>
          <w:tcPr>
            <w:tcW w:w="579" w:type="pct"/>
            <w:vAlign w:val="center"/>
          </w:tcPr>
          <w:p w14:paraId="7A753A4A">
            <w:pPr>
              <w:spacing w:line="400" w:lineRule="exact"/>
              <w:jc w:val="center"/>
              <w:rPr>
                <w:rFonts w:ascii="宋体" w:hAnsi="宋体"/>
                <w:bCs/>
                <w:color w:val="auto"/>
                <w:sz w:val="22"/>
                <w:szCs w:val="22"/>
                <w:highlight w:val="none"/>
              </w:rPr>
            </w:pPr>
          </w:p>
        </w:tc>
        <w:tc>
          <w:tcPr>
            <w:tcW w:w="462" w:type="pct"/>
            <w:vAlign w:val="center"/>
          </w:tcPr>
          <w:p w14:paraId="47B54428">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6AF2BFF0">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245DBB1C">
            <w:pPr>
              <w:spacing w:line="400" w:lineRule="exact"/>
              <w:jc w:val="center"/>
              <w:rPr>
                <w:rFonts w:ascii="宋体" w:hAnsi="宋体"/>
                <w:bCs/>
                <w:color w:val="auto"/>
                <w:sz w:val="22"/>
                <w:szCs w:val="22"/>
                <w:highlight w:val="none"/>
              </w:rPr>
            </w:pPr>
          </w:p>
        </w:tc>
      </w:tr>
      <w:tr w14:paraId="6582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2041AB3B">
            <w:pPr>
              <w:spacing w:line="400" w:lineRule="exact"/>
              <w:jc w:val="center"/>
              <w:rPr>
                <w:rFonts w:ascii="宋体" w:hAnsi="宋体"/>
                <w:bCs/>
                <w:color w:val="auto"/>
                <w:sz w:val="22"/>
                <w:szCs w:val="22"/>
                <w:highlight w:val="none"/>
              </w:rPr>
            </w:pPr>
          </w:p>
        </w:tc>
        <w:tc>
          <w:tcPr>
            <w:tcW w:w="1930" w:type="pct"/>
            <w:vAlign w:val="center"/>
          </w:tcPr>
          <w:p w14:paraId="62909CC3">
            <w:pPr>
              <w:spacing w:line="400" w:lineRule="exact"/>
              <w:jc w:val="center"/>
              <w:rPr>
                <w:rFonts w:ascii="宋体" w:hAnsi="宋体"/>
                <w:bCs/>
                <w:color w:val="auto"/>
                <w:sz w:val="22"/>
                <w:szCs w:val="22"/>
                <w:highlight w:val="none"/>
              </w:rPr>
            </w:pPr>
          </w:p>
        </w:tc>
        <w:tc>
          <w:tcPr>
            <w:tcW w:w="579" w:type="pct"/>
            <w:vAlign w:val="center"/>
          </w:tcPr>
          <w:p w14:paraId="7D47727F">
            <w:pPr>
              <w:spacing w:line="400" w:lineRule="exact"/>
              <w:jc w:val="center"/>
              <w:rPr>
                <w:rFonts w:ascii="宋体" w:hAnsi="宋体"/>
                <w:bCs/>
                <w:color w:val="auto"/>
                <w:sz w:val="22"/>
                <w:szCs w:val="22"/>
                <w:highlight w:val="none"/>
              </w:rPr>
            </w:pPr>
          </w:p>
        </w:tc>
        <w:tc>
          <w:tcPr>
            <w:tcW w:w="462" w:type="pct"/>
            <w:vAlign w:val="center"/>
          </w:tcPr>
          <w:p w14:paraId="53199297">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3C8A6074">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20E2D3DF">
            <w:pPr>
              <w:spacing w:line="400" w:lineRule="exact"/>
              <w:jc w:val="center"/>
              <w:rPr>
                <w:rFonts w:ascii="宋体" w:hAnsi="宋体"/>
                <w:bCs/>
                <w:color w:val="auto"/>
                <w:sz w:val="22"/>
                <w:szCs w:val="22"/>
                <w:highlight w:val="none"/>
              </w:rPr>
            </w:pPr>
          </w:p>
        </w:tc>
      </w:tr>
      <w:tr w14:paraId="74FB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4F496358">
            <w:pPr>
              <w:spacing w:line="400" w:lineRule="exact"/>
              <w:jc w:val="center"/>
              <w:rPr>
                <w:rFonts w:ascii="宋体" w:hAnsi="宋体"/>
                <w:bCs/>
                <w:color w:val="auto"/>
                <w:sz w:val="22"/>
                <w:szCs w:val="22"/>
                <w:highlight w:val="none"/>
              </w:rPr>
            </w:pPr>
          </w:p>
        </w:tc>
        <w:tc>
          <w:tcPr>
            <w:tcW w:w="1930" w:type="pct"/>
            <w:vAlign w:val="center"/>
          </w:tcPr>
          <w:p w14:paraId="7DD87C6F">
            <w:pPr>
              <w:spacing w:line="400" w:lineRule="exact"/>
              <w:jc w:val="center"/>
              <w:rPr>
                <w:rFonts w:ascii="宋体" w:hAnsi="宋体"/>
                <w:bCs/>
                <w:color w:val="auto"/>
                <w:sz w:val="22"/>
                <w:szCs w:val="22"/>
                <w:highlight w:val="none"/>
              </w:rPr>
            </w:pPr>
          </w:p>
        </w:tc>
        <w:tc>
          <w:tcPr>
            <w:tcW w:w="579" w:type="pct"/>
            <w:vAlign w:val="center"/>
          </w:tcPr>
          <w:p w14:paraId="77BA29B6">
            <w:pPr>
              <w:spacing w:line="400" w:lineRule="exact"/>
              <w:jc w:val="center"/>
              <w:rPr>
                <w:rFonts w:ascii="宋体" w:hAnsi="宋体"/>
                <w:bCs/>
                <w:color w:val="auto"/>
                <w:sz w:val="22"/>
                <w:szCs w:val="22"/>
                <w:highlight w:val="none"/>
              </w:rPr>
            </w:pPr>
          </w:p>
        </w:tc>
        <w:tc>
          <w:tcPr>
            <w:tcW w:w="462" w:type="pct"/>
            <w:vAlign w:val="center"/>
          </w:tcPr>
          <w:p w14:paraId="39455F27">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439B1D8">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2CCFDA21">
            <w:pPr>
              <w:spacing w:line="400" w:lineRule="exact"/>
              <w:jc w:val="center"/>
              <w:rPr>
                <w:rFonts w:ascii="宋体" w:hAnsi="宋体"/>
                <w:bCs/>
                <w:color w:val="auto"/>
                <w:sz w:val="22"/>
                <w:szCs w:val="22"/>
                <w:highlight w:val="none"/>
              </w:rPr>
            </w:pPr>
          </w:p>
        </w:tc>
      </w:tr>
      <w:tr w14:paraId="045F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215A9B9">
            <w:pPr>
              <w:spacing w:line="400" w:lineRule="exact"/>
              <w:jc w:val="center"/>
              <w:rPr>
                <w:rFonts w:ascii="宋体" w:hAnsi="宋体"/>
                <w:bCs/>
                <w:color w:val="auto"/>
                <w:sz w:val="22"/>
                <w:szCs w:val="22"/>
                <w:highlight w:val="none"/>
              </w:rPr>
            </w:pPr>
          </w:p>
        </w:tc>
        <w:tc>
          <w:tcPr>
            <w:tcW w:w="1930" w:type="pct"/>
            <w:vAlign w:val="center"/>
          </w:tcPr>
          <w:p w14:paraId="21B9D0B5">
            <w:pPr>
              <w:spacing w:line="400" w:lineRule="exact"/>
              <w:jc w:val="center"/>
              <w:rPr>
                <w:rFonts w:ascii="宋体" w:hAnsi="宋体"/>
                <w:bCs/>
                <w:color w:val="auto"/>
                <w:sz w:val="22"/>
                <w:szCs w:val="22"/>
                <w:highlight w:val="none"/>
              </w:rPr>
            </w:pPr>
          </w:p>
        </w:tc>
        <w:tc>
          <w:tcPr>
            <w:tcW w:w="579" w:type="pct"/>
            <w:vAlign w:val="center"/>
          </w:tcPr>
          <w:p w14:paraId="0FC50008">
            <w:pPr>
              <w:spacing w:line="400" w:lineRule="exact"/>
              <w:jc w:val="center"/>
              <w:rPr>
                <w:rFonts w:ascii="宋体" w:hAnsi="宋体"/>
                <w:bCs/>
                <w:color w:val="auto"/>
                <w:sz w:val="22"/>
                <w:szCs w:val="22"/>
                <w:highlight w:val="none"/>
              </w:rPr>
            </w:pPr>
          </w:p>
        </w:tc>
        <w:tc>
          <w:tcPr>
            <w:tcW w:w="462" w:type="pct"/>
            <w:vAlign w:val="center"/>
          </w:tcPr>
          <w:p w14:paraId="1EE86AAD">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2D0442E6">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1DA3A2A6">
            <w:pPr>
              <w:spacing w:line="400" w:lineRule="exact"/>
              <w:jc w:val="center"/>
              <w:rPr>
                <w:rFonts w:ascii="宋体" w:hAnsi="宋体"/>
                <w:bCs/>
                <w:color w:val="auto"/>
                <w:sz w:val="22"/>
                <w:szCs w:val="22"/>
                <w:highlight w:val="none"/>
              </w:rPr>
            </w:pPr>
          </w:p>
        </w:tc>
      </w:tr>
      <w:tr w14:paraId="0876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033FE359">
            <w:pPr>
              <w:spacing w:line="400" w:lineRule="exact"/>
              <w:jc w:val="center"/>
              <w:rPr>
                <w:rFonts w:ascii="宋体" w:hAnsi="宋体"/>
                <w:bCs/>
                <w:color w:val="auto"/>
                <w:sz w:val="22"/>
                <w:szCs w:val="22"/>
                <w:highlight w:val="none"/>
              </w:rPr>
            </w:pPr>
          </w:p>
        </w:tc>
        <w:tc>
          <w:tcPr>
            <w:tcW w:w="1930" w:type="pct"/>
            <w:vAlign w:val="center"/>
          </w:tcPr>
          <w:p w14:paraId="1A8145D1">
            <w:pPr>
              <w:spacing w:line="400" w:lineRule="exact"/>
              <w:jc w:val="center"/>
              <w:rPr>
                <w:rFonts w:ascii="宋体" w:hAnsi="宋体"/>
                <w:bCs/>
                <w:color w:val="auto"/>
                <w:sz w:val="22"/>
                <w:szCs w:val="22"/>
                <w:highlight w:val="none"/>
              </w:rPr>
            </w:pPr>
          </w:p>
        </w:tc>
        <w:tc>
          <w:tcPr>
            <w:tcW w:w="579" w:type="pct"/>
            <w:vAlign w:val="center"/>
          </w:tcPr>
          <w:p w14:paraId="67F209AC">
            <w:pPr>
              <w:spacing w:line="400" w:lineRule="exact"/>
              <w:jc w:val="center"/>
              <w:rPr>
                <w:rFonts w:ascii="宋体" w:hAnsi="宋体"/>
                <w:bCs/>
                <w:color w:val="auto"/>
                <w:sz w:val="22"/>
                <w:szCs w:val="22"/>
                <w:highlight w:val="none"/>
              </w:rPr>
            </w:pPr>
          </w:p>
        </w:tc>
        <w:tc>
          <w:tcPr>
            <w:tcW w:w="462" w:type="pct"/>
            <w:vAlign w:val="center"/>
          </w:tcPr>
          <w:p w14:paraId="49DA1BFC">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4657969">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4F10D649">
            <w:pPr>
              <w:spacing w:line="400" w:lineRule="exact"/>
              <w:jc w:val="center"/>
              <w:rPr>
                <w:rFonts w:ascii="宋体" w:hAnsi="宋体"/>
                <w:bCs/>
                <w:color w:val="auto"/>
                <w:sz w:val="22"/>
                <w:szCs w:val="22"/>
                <w:highlight w:val="none"/>
              </w:rPr>
            </w:pPr>
          </w:p>
        </w:tc>
      </w:tr>
      <w:tr w14:paraId="7800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0D4D9946">
            <w:pPr>
              <w:spacing w:line="400" w:lineRule="exact"/>
              <w:jc w:val="center"/>
              <w:rPr>
                <w:rFonts w:ascii="宋体" w:hAnsi="宋体"/>
                <w:bCs/>
                <w:color w:val="auto"/>
                <w:sz w:val="22"/>
                <w:szCs w:val="22"/>
                <w:highlight w:val="none"/>
              </w:rPr>
            </w:pPr>
          </w:p>
        </w:tc>
        <w:tc>
          <w:tcPr>
            <w:tcW w:w="1930" w:type="pct"/>
            <w:vAlign w:val="center"/>
          </w:tcPr>
          <w:p w14:paraId="3BD56DE3">
            <w:pPr>
              <w:spacing w:line="400" w:lineRule="exact"/>
              <w:jc w:val="center"/>
              <w:rPr>
                <w:rFonts w:ascii="宋体" w:hAnsi="宋体"/>
                <w:bCs/>
                <w:color w:val="auto"/>
                <w:sz w:val="22"/>
                <w:szCs w:val="22"/>
                <w:highlight w:val="none"/>
              </w:rPr>
            </w:pPr>
          </w:p>
        </w:tc>
        <w:tc>
          <w:tcPr>
            <w:tcW w:w="579" w:type="pct"/>
            <w:vAlign w:val="center"/>
          </w:tcPr>
          <w:p w14:paraId="73ACCDE6">
            <w:pPr>
              <w:spacing w:line="400" w:lineRule="exact"/>
              <w:jc w:val="center"/>
              <w:rPr>
                <w:rFonts w:ascii="宋体" w:hAnsi="宋体"/>
                <w:bCs/>
                <w:color w:val="auto"/>
                <w:sz w:val="22"/>
                <w:szCs w:val="22"/>
                <w:highlight w:val="none"/>
              </w:rPr>
            </w:pPr>
          </w:p>
        </w:tc>
        <w:tc>
          <w:tcPr>
            <w:tcW w:w="462" w:type="pct"/>
            <w:vAlign w:val="center"/>
          </w:tcPr>
          <w:p w14:paraId="01543BDA">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67ACE414">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1F018279">
            <w:pPr>
              <w:spacing w:line="400" w:lineRule="exact"/>
              <w:jc w:val="center"/>
              <w:rPr>
                <w:rFonts w:ascii="宋体" w:hAnsi="宋体"/>
                <w:bCs/>
                <w:color w:val="auto"/>
                <w:sz w:val="22"/>
                <w:szCs w:val="22"/>
                <w:highlight w:val="none"/>
              </w:rPr>
            </w:pPr>
          </w:p>
        </w:tc>
      </w:tr>
      <w:tr w14:paraId="1333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03E077E6">
            <w:pPr>
              <w:spacing w:line="400" w:lineRule="exact"/>
              <w:jc w:val="center"/>
              <w:rPr>
                <w:rFonts w:ascii="宋体" w:hAnsi="宋体"/>
                <w:bCs/>
                <w:color w:val="auto"/>
                <w:sz w:val="22"/>
                <w:szCs w:val="22"/>
                <w:highlight w:val="none"/>
              </w:rPr>
            </w:pPr>
          </w:p>
        </w:tc>
        <w:tc>
          <w:tcPr>
            <w:tcW w:w="1930" w:type="pct"/>
            <w:vAlign w:val="center"/>
          </w:tcPr>
          <w:p w14:paraId="66A724E2">
            <w:pPr>
              <w:spacing w:line="400" w:lineRule="exact"/>
              <w:jc w:val="center"/>
              <w:rPr>
                <w:rFonts w:ascii="宋体" w:hAnsi="宋体"/>
                <w:bCs/>
                <w:color w:val="auto"/>
                <w:sz w:val="22"/>
                <w:szCs w:val="22"/>
                <w:highlight w:val="none"/>
              </w:rPr>
            </w:pPr>
          </w:p>
        </w:tc>
        <w:tc>
          <w:tcPr>
            <w:tcW w:w="579" w:type="pct"/>
            <w:vAlign w:val="center"/>
          </w:tcPr>
          <w:p w14:paraId="6563ADB6">
            <w:pPr>
              <w:spacing w:line="400" w:lineRule="exact"/>
              <w:jc w:val="center"/>
              <w:rPr>
                <w:rFonts w:ascii="宋体" w:hAnsi="宋体"/>
                <w:bCs/>
                <w:color w:val="auto"/>
                <w:sz w:val="22"/>
                <w:szCs w:val="22"/>
                <w:highlight w:val="none"/>
              </w:rPr>
            </w:pPr>
          </w:p>
        </w:tc>
        <w:tc>
          <w:tcPr>
            <w:tcW w:w="462" w:type="pct"/>
            <w:vAlign w:val="center"/>
          </w:tcPr>
          <w:p w14:paraId="07289C2A">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70FFC2AF">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5F261180">
            <w:pPr>
              <w:spacing w:line="400" w:lineRule="exact"/>
              <w:jc w:val="center"/>
              <w:rPr>
                <w:rFonts w:ascii="宋体" w:hAnsi="宋体"/>
                <w:bCs/>
                <w:color w:val="auto"/>
                <w:sz w:val="22"/>
                <w:szCs w:val="22"/>
                <w:highlight w:val="none"/>
              </w:rPr>
            </w:pPr>
          </w:p>
        </w:tc>
      </w:tr>
      <w:tr w14:paraId="0A53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5CB8A7E1">
            <w:pPr>
              <w:spacing w:line="400" w:lineRule="exact"/>
              <w:jc w:val="center"/>
              <w:rPr>
                <w:rFonts w:ascii="宋体" w:hAnsi="宋体"/>
                <w:bCs/>
                <w:color w:val="auto"/>
                <w:sz w:val="22"/>
                <w:szCs w:val="22"/>
                <w:highlight w:val="none"/>
              </w:rPr>
            </w:pPr>
          </w:p>
        </w:tc>
        <w:tc>
          <w:tcPr>
            <w:tcW w:w="1930" w:type="pct"/>
            <w:vAlign w:val="center"/>
          </w:tcPr>
          <w:p w14:paraId="78618CDE">
            <w:pPr>
              <w:spacing w:line="400" w:lineRule="exact"/>
              <w:jc w:val="center"/>
              <w:rPr>
                <w:rFonts w:ascii="宋体" w:hAnsi="宋体"/>
                <w:bCs/>
                <w:color w:val="auto"/>
                <w:sz w:val="22"/>
                <w:szCs w:val="22"/>
                <w:highlight w:val="none"/>
              </w:rPr>
            </w:pPr>
          </w:p>
        </w:tc>
        <w:tc>
          <w:tcPr>
            <w:tcW w:w="579" w:type="pct"/>
            <w:vAlign w:val="center"/>
          </w:tcPr>
          <w:p w14:paraId="334111DD">
            <w:pPr>
              <w:spacing w:line="400" w:lineRule="exact"/>
              <w:jc w:val="center"/>
              <w:rPr>
                <w:rFonts w:ascii="宋体" w:hAnsi="宋体"/>
                <w:bCs/>
                <w:color w:val="auto"/>
                <w:sz w:val="22"/>
                <w:szCs w:val="22"/>
                <w:highlight w:val="none"/>
              </w:rPr>
            </w:pPr>
          </w:p>
        </w:tc>
        <w:tc>
          <w:tcPr>
            <w:tcW w:w="462" w:type="pct"/>
            <w:vAlign w:val="center"/>
          </w:tcPr>
          <w:p w14:paraId="6E193BDB">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5297ADCD">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0858D1E5">
            <w:pPr>
              <w:spacing w:line="400" w:lineRule="exact"/>
              <w:jc w:val="center"/>
              <w:rPr>
                <w:rFonts w:ascii="宋体" w:hAnsi="宋体"/>
                <w:bCs/>
                <w:color w:val="auto"/>
                <w:sz w:val="22"/>
                <w:szCs w:val="22"/>
                <w:highlight w:val="none"/>
              </w:rPr>
            </w:pPr>
          </w:p>
        </w:tc>
      </w:tr>
      <w:tr w14:paraId="435A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71510E51">
            <w:pPr>
              <w:spacing w:line="400" w:lineRule="exact"/>
              <w:jc w:val="center"/>
              <w:rPr>
                <w:rFonts w:ascii="宋体" w:hAnsi="宋体"/>
                <w:bCs/>
                <w:color w:val="auto"/>
                <w:sz w:val="22"/>
                <w:szCs w:val="22"/>
                <w:highlight w:val="none"/>
              </w:rPr>
            </w:pPr>
          </w:p>
        </w:tc>
        <w:tc>
          <w:tcPr>
            <w:tcW w:w="1930" w:type="pct"/>
            <w:vAlign w:val="center"/>
          </w:tcPr>
          <w:p w14:paraId="62698713">
            <w:pPr>
              <w:spacing w:line="400" w:lineRule="exact"/>
              <w:jc w:val="center"/>
              <w:rPr>
                <w:rFonts w:ascii="宋体" w:hAnsi="宋体"/>
                <w:bCs/>
                <w:color w:val="auto"/>
                <w:sz w:val="22"/>
                <w:szCs w:val="22"/>
                <w:highlight w:val="none"/>
              </w:rPr>
            </w:pPr>
          </w:p>
        </w:tc>
        <w:tc>
          <w:tcPr>
            <w:tcW w:w="579" w:type="pct"/>
            <w:vAlign w:val="center"/>
          </w:tcPr>
          <w:p w14:paraId="7A9AD377">
            <w:pPr>
              <w:spacing w:line="400" w:lineRule="exact"/>
              <w:jc w:val="center"/>
              <w:rPr>
                <w:rFonts w:ascii="宋体" w:hAnsi="宋体"/>
                <w:bCs/>
                <w:color w:val="auto"/>
                <w:sz w:val="22"/>
                <w:szCs w:val="22"/>
                <w:highlight w:val="none"/>
              </w:rPr>
            </w:pPr>
          </w:p>
        </w:tc>
        <w:tc>
          <w:tcPr>
            <w:tcW w:w="462" w:type="pct"/>
            <w:vAlign w:val="center"/>
          </w:tcPr>
          <w:p w14:paraId="7B7B642D">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5972144">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2C392628">
            <w:pPr>
              <w:spacing w:line="400" w:lineRule="exact"/>
              <w:jc w:val="center"/>
              <w:rPr>
                <w:rFonts w:ascii="宋体" w:hAnsi="宋体"/>
                <w:bCs/>
                <w:color w:val="auto"/>
                <w:sz w:val="22"/>
                <w:szCs w:val="22"/>
                <w:highlight w:val="none"/>
              </w:rPr>
            </w:pPr>
          </w:p>
        </w:tc>
      </w:tr>
      <w:tr w14:paraId="3B64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B8C7F09">
            <w:pPr>
              <w:spacing w:line="400" w:lineRule="exact"/>
              <w:jc w:val="center"/>
              <w:rPr>
                <w:rFonts w:ascii="宋体" w:hAnsi="宋体"/>
                <w:bCs/>
                <w:color w:val="auto"/>
                <w:sz w:val="22"/>
                <w:szCs w:val="22"/>
                <w:highlight w:val="none"/>
              </w:rPr>
            </w:pPr>
          </w:p>
        </w:tc>
        <w:tc>
          <w:tcPr>
            <w:tcW w:w="1930" w:type="pct"/>
            <w:vAlign w:val="center"/>
          </w:tcPr>
          <w:p w14:paraId="692B19C0">
            <w:pPr>
              <w:spacing w:line="400" w:lineRule="exact"/>
              <w:jc w:val="center"/>
              <w:rPr>
                <w:rFonts w:ascii="宋体" w:hAnsi="宋体"/>
                <w:bCs/>
                <w:color w:val="auto"/>
                <w:sz w:val="22"/>
                <w:szCs w:val="22"/>
                <w:highlight w:val="none"/>
              </w:rPr>
            </w:pPr>
          </w:p>
        </w:tc>
        <w:tc>
          <w:tcPr>
            <w:tcW w:w="579" w:type="pct"/>
            <w:vAlign w:val="center"/>
          </w:tcPr>
          <w:p w14:paraId="3315ACF7">
            <w:pPr>
              <w:spacing w:line="400" w:lineRule="exact"/>
              <w:jc w:val="center"/>
              <w:rPr>
                <w:rFonts w:ascii="宋体" w:hAnsi="宋体"/>
                <w:bCs/>
                <w:color w:val="auto"/>
                <w:sz w:val="22"/>
                <w:szCs w:val="22"/>
                <w:highlight w:val="none"/>
              </w:rPr>
            </w:pPr>
          </w:p>
        </w:tc>
        <w:tc>
          <w:tcPr>
            <w:tcW w:w="462" w:type="pct"/>
            <w:vAlign w:val="center"/>
          </w:tcPr>
          <w:p w14:paraId="1ADACBBF">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12DA05F">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64BFBB4A">
            <w:pPr>
              <w:spacing w:line="400" w:lineRule="exact"/>
              <w:jc w:val="center"/>
              <w:rPr>
                <w:rFonts w:ascii="宋体" w:hAnsi="宋体"/>
                <w:bCs/>
                <w:color w:val="auto"/>
                <w:sz w:val="22"/>
                <w:szCs w:val="22"/>
                <w:highlight w:val="none"/>
              </w:rPr>
            </w:pPr>
          </w:p>
        </w:tc>
      </w:tr>
    </w:tbl>
    <w:p w14:paraId="21520FB2">
      <w:pPr>
        <w:spacing w:line="380" w:lineRule="exact"/>
        <w:ind w:firstLine="4400" w:firstLineChars="2000"/>
        <w:rPr>
          <w:rFonts w:ascii="宋体" w:hAnsi="宋体" w:cs="hakuyoxingshu7000"/>
          <w:color w:val="auto"/>
          <w:sz w:val="22"/>
          <w:szCs w:val="22"/>
          <w:highlight w:val="none"/>
        </w:rPr>
      </w:pPr>
    </w:p>
    <w:p w14:paraId="0DEFEF46">
      <w:pPr>
        <w:spacing w:line="380" w:lineRule="exact"/>
        <w:jc w:val="left"/>
        <w:rPr>
          <w:rFonts w:ascii="宋体" w:hAnsi="宋体"/>
          <w:color w:val="auto"/>
          <w:sz w:val="22"/>
          <w:szCs w:val="22"/>
          <w:highlight w:val="none"/>
        </w:rPr>
      </w:pPr>
      <w:r>
        <w:rPr>
          <w:rFonts w:hint="eastAsia" w:ascii="宋体" w:hAnsi="宋体"/>
          <w:b/>
          <w:bCs/>
          <w:color w:val="auto"/>
          <w:sz w:val="22"/>
          <w:szCs w:val="22"/>
          <w:highlight w:val="none"/>
        </w:rPr>
        <w:t>注：</w:t>
      </w:r>
      <w:r>
        <w:rPr>
          <w:rFonts w:hint="eastAsia" w:ascii="宋体" w:hAnsi="宋体"/>
          <w:bCs/>
          <w:color w:val="auto"/>
          <w:sz w:val="22"/>
          <w:szCs w:val="22"/>
          <w:highlight w:val="none"/>
        </w:rPr>
        <w:t>1.</w:t>
      </w:r>
      <w:r>
        <w:rPr>
          <w:rFonts w:hint="eastAsia" w:ascii="宋体" w:hAnsi="宋体"/>
          <w:color w:val="auto"/>
          <w:sz w:val="22"/>
          <w:szCs w:val="22"/>
          <w:highlight w:val="none"/>
        </w:rPr>
        <w:t xml:space="preserve"> 投标人应按“招标内容及要求”的明细分别填写，附在投标文件内。</w:t>
      </w:r>
    </w:p>
    <w:p w14:paraId="5E01D1C2">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 此表仅提供了表格形式，投标人应根据需要准备足够数量的表格来填写清单一览表。</w:t>
      </w:r>
    </w:p>
    <w:p w14:paraId="62FC9E2D">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 不提供供货范围详细清单将视为没有实质性响应招标文件。</w:t>
      </w:r>
    </w:p>
    <w:p w14:paraId="4016F9C9">
      <w:pPr>
        <w:spacing w:line="380" w:lineRule="exact"/>
        <w:ind w:firstLine="4400" w:firstLineChars="2000"/>
        <w:rPr>
          <w:rFonts w:ascii="宋体" w:hAnsi="宋体" w:cs="hakuyoxingshu7000"/>
          <w:color w:val="auto"/>
          <w:sz w:val="22"/>
          <w:szCs w:val="22"/>
          <w:highlight w:val="none"/>
        </w:rPr>
      </w:pPr>
    </w:p>
    <w:p w14:paraId="31EDAA2E">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3F36B1ED">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6417E494">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1B9672CE">
      <w:pPr>
        <w:spacing w:line="380" w:lineRule="exact"/>
        <w:ind w:firstLine="4400" w:firstLineChars="2000"/>
        <w:rPr>
          <w:rFonts w:ascii="宋体" w:hAnsi="宋体" w:cs="hakuyoxingshu7000"/>
          <w:color w:val="auto"/>
          <w:sz w:val="22"/>
          <w:highlight w:val="none"/>
        </w:rPr>
      </w:pPr>
    </w:p>
    <w:p w14:paraId="0DB494AF">
      <w:pPr>
        <w:spacing w:line="380" w:lineRule="exact"/>
        <w:ind w:firstLine="4515" w:firstLineChars="2150"/>
        <w:rPr>
          <w:rFonts w:ascii="宋体" w:hAnsi="宋体"/>
          <w:color w:val="auto"/>
          <w:highlight w:val="none"/>
        </w:rPr>
      </w:pPr>
    </w:p>
    <w:p w14:paraId="7B5F32A7">
      <w:pPr>
        <w:rPr>
          <w:rFonts w:ascii="宋体" w:hAnsi="宋体"/>
          <w:b/>
          <w:color w:val="auto"/>
          <w:sz w:val="22"/>
          <w:szCs w:val="22"/>
          <w:highlight w:val="none"/>
        </w:rPr>
      </w:pPr>
      <w:r>
        <w:rPr>
          <w:rFonts w:ascii="宋体" w:hAnsi="宋体"/>
          <w:color w:val="auto"/>
          <w:sz w:val="24"/>
          <w:highlight w:val="none"/>
        </w:rPr>
        <w:br w:type="page"/>
      </w:r>
      <w:r>
        <w:rPr>
          <w:rFonts w:hint="eastAsia" w:ascii="宋体" w:hAnsi="宋体"/>
          <w:b/>
          <w:bCs/>
          <w:color w:val="auto"/>
          <w:sz w:val="22"/>
          <w:szCs w:val="22"/>
          <w:highlight w:val="none"/>
        </w:rPr>
        <w:t>附件六</w:t>
      </w:r>
    </w:p>
    <w:p w14:paraId="04525942">
      <w:pPr>
        <w:rPr>
          <w:color w:val="auto"/>
          <w:highlight w:val="none"/>
        </w:rPr>
      </w:pPr>
    </w:p>
    <w:p w14:paraId="7A0A75B5">
      <w:pPr>
        <w:pStyle w:val="4"/>
        <w:jc w:val="center"/>
        <w:rPr>
          <w:rFonts w:hint="eastAsia"/>
          <w:color w:val="auto"/>
          <w:sz w:val="28"/>
          <w:szCs w:val="28"/>
          <w:lang w:val="en-US" w:eastAsia="zh-CN"/>
        </w:rPr>
      </w:pPr>
      <w:r>
        <w:rPr>
          <w:rFonts w:hint="eastAsia"/>
          <w:color w:val="auto"/>
          <w:sz w:val="28"/>
          <w:szCs w:val="28"/>
          <w:lang w:val="en-US" w:eastAsia="zh-CN"/>
        </w:rPr>
        <w:t>无缝衔接承诺函</w:t>
      </w:r>
    </w:p>
    <w:p w14:paraId="0989763C">
      <w:pPr>
        <w:spacing w:line="440" w:lineRule="atLeast"/>
        <w:rPr>
          <w:rFonts w:hint="eastAsia"/>
          <w:color w:val="auto"/>
          <w:sz w:val="22"/>
          <w:szCs w:val="22"/>
          <w:lang w:val="en-US" w:eastAsia="zh-CN"/>
        </w:rPr>
      </w:pPr>
      <w:r>
        <w:rPr>
          <w:rFonts w:hint="eastAsia"/>
          <w:color w:val="auto"/>
          <w:sz w:val="22"/>
          <w:szCs w:val="22"/>
          <w:lang w:val="en-US" w:eastAsia="zh-CN"/>
        </w:rPr>
        <w:t>致：温州肯恩大学</w:t>
      </w:r>
    </w:p>
    <w:p w14:paraId="79EA13C5">
      <w:pPr>
        <w:pStyle w:val="24"/>
        <w:spacing w:line="440" w:lineRule="atLeast"/>
        <w:ind w:firstLine="440" w:firstLineChars="200"/>
        <w:rPr>
          <w:rFonts w:hint="eastAsia"/>
          <w:color w:val="auto"/>
          <w:sz w:val="22"/>
          <w:szCs w:val="22"/>
          <w:lang w:val="en-US" w:eastAsia="zh-CN"/>
        </w:rPr>
      </w:pPr>
      <w:r>
        <w:rPr>
          <w:rFonts w:hint="eastAsia"/>
          <w:color w:val="auto"/>
          <w:sz w:val="22"/>
          <w:szCs w:val="22"/>
          <w:lang w:val="en-US" w:eastAsia="zh-CN"/>
        </w:rPr>
        <w:t>若我公司中标，承诺在本项目实施过程中与学校现有的中控管理平台（现有为华璨中控管理平台）进行无缝衔接。如衔接过程中产生相关费用，则全部费用均由我公司自行承担。</w:t>
      </w:r>
    </w:p>
    <w:p w14:paraId="57B759CD">
      <w:pPr>
        <w:pStyle w:val="24"/>
        <w:spacing w:line="440" w:lineRule="atLeast"/>
        <w:ind w:firstLine="440" w:firstLineChars="20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如未实现无缝衔接，我公司承担由此产生的一切后果及责任。</w:t>
      </w:r>
    </w:p>
    <w:p w14:paraId="24F03ADC">
      <w:pPr>
        <w:pStyle w:val="24"/>
        <w:spacing w:line="440" w:lineRule="atLeast"/>
        <w:ind w:firstLine="440" w:firstLineChars="200"/>
        <w:rPr>
          <w:rFonts w:hint="eastAsia" w:ascii="Times New Roman" w:hAnsi="Times New Roman" w:cs="Times New Roman"/>
          <w:b w:val="0"/>
          <w:color w:val="auto"/>
          <w:sz w:val="22"/>
          <w:szCs w:val="22"/>
        </w:rPr>
      </w:pPr>
    </w:p>
    <w:p w14:paraId="01D3C65A">
      <w:pPr>
        <w:pStyle w:val="24"/>
        <w:spacing w:line="440" w:lineRule="atLeast"/>
        <w:ind w:firstLine="440" w:firstLineChars="200"/>
        <w:rPr>
          <w:rFonts w:hint="eastAsia" w:ascii="Times New Roman" w:hAnsi="Times New Roman" w:cs="Times New Roman"/>
          <w:b w:val="0"/>
          <w:color w:val="auto"/>
          <w:sz w:val="22"/>
          <w:szCs w:val="22"/>
        </w:rPr>
      </w:pPr>
    </w:p>
    <w:p w14:paraId="1B540B04">
      <w:pPr>
        <w:spacing w:line="380" w:lineRule="exact"/>
        <w:ind w:left="532" w:leftChars="-66" w:hanging="671" w:hangingChars="304"/>
        <w:rPr>
          <w:rFonts w:ascii="宋体" w:hAnsi="宋体"/>
          <w:b/>
          <w:color w:val="auto"/>
          <w:sz w:val="22"/>
          <w:highlight w:val="none"/>
        </w:rPr>
      </w:pPr>
      <w:r>
        <w:rPr>
          <w:rFonts w:hint="eastAsia" w:ascii="宋体" w:hAnsi="宋体"/>
          <w:b/>
          <w:color w:val="auto"/>
          <w:sz w:val="22"/>
          <w:highlight w:val="none"/>
        </w:rPr>
        <w:t>说明：</w:t>
      </w:r>
      <w:r>
        <w:rPr>
          <w:rFonts w:hint="eastAsia" w:ascii="宋体" w:hAnsi="宋体" w:cs="Arial"/>
          <w:b/>
          <w:bCs/>
          <w:color w:val="auto"/>
          <w:sz w:val="22"/>
          <w:szCs w:val="22"/>
          <w:highlight w:val="none"/>
        </w:rPr>
        <w:t>▲</w:t>
      </w:r>
      <w:r>
        <w:rPr>
          <w:rFonts w:hint="eastAsia" w:ascii="宋体" w:hAnsi="宋体" w:cs="Arial"/>
          <w:b/>
          <w:color w:val="auto"/>
          <w:sz w:val="22"/>
          <w:szCs w:val="22"/>
          <w:highlight w:val="none"/>
          <w:u w:val="single"/>
        </w:rPr>
        <w:t>不按要求提供</w:t>
      </w:r>
      <w:r>
        <w:rPr>
          <w:rFonts w:hint="eastAsia" w:ascii="宋体" w:hAnsi="宋体" w:cs="Arial"/>
          <w:b/>
          <w:color w:val="auto"/>
          <w:sz w:val="22"/>
          <w:szCs w:val="22"/>
          <w:highlight w:val="none"/>
          <w:u w:val="single"/>
          <w:lang w:val="en-US" w:eastAsia="zh-CN"/>
        </w:rPr>
        <w:t>无缝衔接承诺函</w:t>
      </w:r>
      <w:r>
        <w:rPr>
          <w:rFonts w:hint="eastAsia" w:ascii="宋体" w:hAnsi="宋体" w:cs="Arial"/>
          <w:b/>
          <w:color w:val="auto"/>
          <w:sz w:val="22"/>
          <w:szCs w:val="22"/>
          <w:highlight w:val="none"/>
          <w:u w:val="single"/>
        </w:rPr>
        <w:t>的投标文件将被视为未实质性响应招标文件</w:t>
      </w:r>
      <w:r>
        <w:rPr>
          <w:rFonts w:hint="eastAsia" w:ascii="宋体" w:hAnsi="宋体"/>
          <w:b/>
          <w:color w:val="auto"/>
          <w:sz w:val="22"/>
          <w:highlight w:val="none"/>
          <w:u w:val="single"/>
        </w:rPr>
        <w:t>。</w:t>
      </w:r>
    </w:p>
    <w:p w14:paraId="576874F6">
      <w:pPr>
        <w:spacing w:line="380" w:lineRule="exact"/>
        <w:ind w:firstLine="660" w:firstLineChars="300"/>
        <w:rPr>
          <w:rFonts w:ascii="宋体" w:hAnsi="宋体"/>
          <w:color w:val="auto"/>
          <w:sz w:val="22"/>
          <w:szCs w:val="22"/>
          <w:highlight w:val="none"/>
        </w:rPr>
      </w:pPr>
    </w:p>
    <w:p w14:paraId="77F1B643">
      <w:pPr>
        <w:pStyle w:val="24"/>
        <w:rPr>
          <w:rFonts w:ascii="宋体" w:hAnsi="宋体"/>
          <w:color w:val="auto"/>
          <w:sz w:val="22"/>
          <w:szCs w:val="22"/>
          <w:highlight w:val="none"/>
        </w:rPr>
      </w:pPr>
    </w:p>
    <w:p w14:paraId="4AF4AF11">
      <w:pPr>
        <w:rPr>
          <w:rFonts w:ascii="宋体" w:hAnsi="宋体"/>
          <w:color w:val="auto"/>
          <w:sz w:val="22"/>
          <w:szCs w:val="22"/>
          <w:highlight w:val="none"/>
        </w:rPr>
      </w:pPr>
    </w:p>
    <w:p w14:paraId="1ACC168B">
      <w:pPr>
        <w:pStyle w:val="24"/>
        <w:rPr>
          <w:rFonts w:ascii="宋体" w:hAnsi="宋体"/>
          <w:color w:val="auto"/>
          <w:sz w:val="22"/>
          <w:szCs w:val="22"/>
          <w:highlight w:val="none"/>
        </w:rPr>
      </w:pPr>
    </w:p>
    <w:p w14:paraId="316E33CE">
      <w:pPr>
        <w:pStyle w:val="25"/>
        <w:rPr>
          <w:color w:val="auto"/>
        </w:rPr>
      </w:pPr>
    </w:p>
    <w:p w14:paraId="16D01B50">
      <w:pPr>
        <w:spacing w:line="380" w:lineRule="exact"/>
        <w:ind w:left="2520" w:leftChars="1200" w:firstLine="0" w:firstLineChars="0"/>
        <w:rPr>
          <w:rFonts w:ascii="宋体" w:hAnsi="宋体"/>
          <w:color w:val="auto"/>
          <w:sz w:val="22"/>
          <w:szCs w:val="22"/>
          <w:highlight w:val="none"/>
        </w:rPr>
      </w:pPr>
      <w:r>
        <w:rPr>
          <w:rFonts w:hint="eastAsia" w:ascii="宋体" w:hAnsi="宋体"/>
          <w:color w:val="auto"/>
          <w:sz w:val="22"/>
          <w:szCs w:val="22"/>
          <w:highlight w:val="none"/>
        </w:rPr>
        <w:t>投标人全称（盖章）：</w:t>
      </w:r>
    </w:p>
    <w:p w14:paraId="49042D3F">
      <w:pPr>
        <w:spacing w:line="380" w:lineRule="exact"/>
        <w:ind w:left="2520" w:leftChars="1200" w:firstLine="0" w:firstLineChars="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7F95C3E1">
      <w:pPr>
        <w:spacing w:line="380" w:lineRule="exact"/>
        <w:ind w:left="2520" w:leftChars="1200" w:firstLine="0" w:firstLineChars="0"/>
        <w:rPr>
          <w:rFonts w:ascii="宋体" w:hAnsi="宋体"/>
          <w:color w:val="auto"/>
          <w:sz w:val="22"/>
          <w:szCs w:val="22"/>
          <w:highlight w:val="none"/>
        </w:rPr>
      </w:pPr>
      <w:r>
        <w:rPr>
          <w:rFonts w:hint="eastAsia" w:ascii="宋体" w:hAnsi="宋体"/>
          <w:color w:val="auto"/>
          <w:sz w:val="22"/>
          <w:szCs w:val="22"/>
          <w:highlight w:val="none"/>
        </w:rPr>
        <w:t>日 期：  年  月  日</w:t>
      </w:r>
    </w:p>
    <w:p w14:paraId="3C1D1C01">
      <w:pPr>
        <w:pStyle w:val="25"/>
        <w:rPr>
          <w:rFonts w:hint="default"/>
          <w:color w:val="auto"/>
          <w:lang w:val="en-US" w:eastAsia="zh-CN"/>
        </w:rPr>
      </w:pPr>
    </w:p>
    <w:p w14:paraId="4C9D4ED8">
      <w:pPr>
        <w:rPr>
          <w:rFonts w:hint="default"/>
          <w:color w:val="auto"/>
          <w:lang w:val="en-US" w:eastAsia="zh-CN"/>
        </w:rPr>
      </w:pPr>
      <w:r>
        <w:rPr>
          <w:rFonts w:hint="default"/>
          <w:color w:val="auto"/>
          <w:lang w:val="en-US" w:eastAsia="zh-CN"/>
        </w:rPr>
        <w:br w:type="page"/>
      </w:r>
    </w:p>
    <w:p w14:paraId="78F2CB9E">
      <w:pPr>
        <w:rPr>
          <w:rFonts w:hint="default" w:eastAsia="宋体"/>
          <w:b/>
          <w:bCs/>
          <w:color w:val="auto"/>
          <w:highlight w:val="none"/>
          <w:lang w:val="en-US" w:eastAsia="zh-CN"/>
        </w:rPr>
      </w:pPr>
      <w:r>
        <w:rPr>
          <w:rFonts w:hint="eastAsia"/>
          <w:b/>
          <w:bCs/>
          <w:color w:val="auto"/>
          <w:highlight w:val="none"/>
          <w:lang w:val="en-US" w:eastAsia="zh-CN"/>
        </w:rPr>
        <w:t>附件七</w:t>
      </w:r>
    </w:p>
    <w:p w14:paraId="1D2622C5">
      <w:pPr>
        <w:rPr>
          <w:color w:val="auto"/>
          <w:highlight w:val="none"/>
        </w:rPr>
      </w:pPr>
    </w:p>
    <w:p w14:paraId="79BF4F18">
      <w:pPr>
        <w:rPr>
          <w:color w:val="auto"/>
          <w:highlight w:val="none"/>
        </w:rPr>
      </w:pPr>
    </w:p>
    <w:p w14:paraId="3630533B">
      <w:pPr>
        <w:jc w:val="center"/>
        <w:rPr>
          <w:rFonts w:ascii="宋体" w:hAnsi="宋体"/>
          <w:color w:val="auto"/>
          <w:sz w:val="22"/>
          <w:szCs w:val="22"/>
          <w:highlight w:val="none"/>
        </w:rPr>
      </w:pPr>
      <w:r>
        <w:rPr>
          <w:rFonts w:hint="eastAsia" w:ascii="宋体" w:hAnsi="宋体"/>
          <w:b/>
          <w:color w:val="auto"/>
          <w:spacing w:val="6"/>
          <w:sz w:val="22"/>
          <w:szCs w:val="22"/>
          <w:highlight w:val="none"/>
        </w:rPr>
        <w:t>节能产品、环境标志产品</w:t>
      </w:r>
    </w:p>
    <w:p w14:paraId="521713D9">
      <w:pPr>
        <w:rPr>
          <w:rFonts w:ascii="宋体" w:hAnsi="宋体"/>
          <w:color w:val="auto"/>
          <w:sz w:val="22"/>
          <w:szCs w:val="22"/>
          <w:highlight w:val="none"/>
        </w:rPr>
      </w:pPr>
    </w:p>
    <w:p w14:paraId="451D8B9E">
      <w:pPr>
        <w:numPr>
          <w:ilvl w:val="0"/>
          <w:numId w:val="44"/>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节能产品应提供以下证明材料（投标文件中，不提供的不享受加分）：</w:t>
      </w:r>
    </w:p>
    <w:p w14:paraId="54FEEF5B">
      <w:pPr>
        <w:spacing w:line="440" w:lineRule="exact"/>
        <w:ind w:right="110"/>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（1）投标产品属于节能产品政府采购品目清单内的，提供品目清单核对，以《</w:t>
      </w:r>
      <w:r>
        <w:rPr>
          <w:rFonts w:ascii="宋体" w:hAnsi="宋体" w:cs="Arial"/>
          <w:color w:val="auto"/>
          <w:sz w:val="22"/>
          <w:szCs w:val="22"/>
          <w:highlight w:val="none"/>
        </w:rPr>
        <w:t>关于印发节能产品政府采购品目清单的通知</w:t>
      </w:r>
      <w:r>
        <w:rPr>
          <w:rFonts w:hint="eastAsia" w:ascii="宋体" w:hAnsi="宋体" w:cs="Arial"/>
          <w:color w:val="auto"/>
          <w:sz w:val="22"/>
          <w:szCs w:val="22"/>
          <w:highlight w:val="none"/>
        </w:rPr>
        <w:t>》</w:t>
      </w:r>
      <w:r>
        <w:rPr>
          <w:rFonts w:ascii="宋体" w:hAnsi="宋体" w:cs="Arial"/>
          <w:color w:val="auto"/>
          <w:sz w:val="22"/>
          <w:szCs w:val="22"/>
          <w:highlight w:val="none"/>
        </w:rPr>
        <w:t>财库〔2019〕19号</w:t>
      </w:r>
      <w:r>
        <w:rPr>
          <w:rFonts w:hint="eastAsia" w:ascii="宋体" w:hAnsi="宋体" w:cs="Arial"/>
          <w:color w:val="auto"/>
          <w:sz w:val="22"/>
          <w:szCs w:val="22"/>
          <w:highlight w:val="none"/>
        </w:rPr>
        <w:t>为准；</w:t>
      </w:r>
    </w:p>
    <w:p w14:paraId="3D1ADB35">
      <w:pPr>
        <w:spacing w:line="440" w:lineRule="exact"/>
        <w:jc w:val="left"/>
        <w:rPr>
          <w:rFonts w:ascii="宋体" w:hAnsi="宋体" w:cs="Arial"/>
          <w:color w:val="auto"/>
          <w:sz w:val="22"/>
          <w:szCs w:val="22"/>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《参与实施政府采购节能产品认证机构名录》内认证机构出具的有效期之内的节能产品认证证书（复印件加盖公章）</w:t>
      </w:r>
    </w:p>
    <w:p w14:paraId="081CF203">
      <w:pPr>
        <w:numPr>
          <w:ilvl w:val="0"/>
          <w:numId w:val="44"/>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环境标志产品应提供以下证明材料（投标文件中，不提供的不享受加分）：</w:t>
      </w:r>
    </w:p>
    <w:p w14:paraId="7E8091F3">
      <w:pPr>
        <w:spacing w:line="44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（1）投标产品属于环境标志产品政府采购品目清单内的，提供品目清单核对，以《关于印发环境标志产品政府采购品目清单的通知》</w:t>
      </w:r>
      <w:r>
        <w:rPr>
          <w:rFonts w:ascii="宋体" w:hAnsi="宋体" w:cs="Arial"/>
          <w:color w:val="auto"/>
          <w:sz w:val="22"/>
          <w:szCs w:val="22"/>
          <w:highlight w:val="none"/>
        </w:rPr>
        <w:t>财库〔2019〕</w:t>
      </w:r>
      <w:r>
        <w:rPr>
          <w:rFonts w:hint="eastAsia" w:ascii="宋体" w:hAnsi="宋体" w:cs="Arial"/>
          <w:color w:val="auto"/>
          <w:sz w:val="22"/>
          <w:szCs w:val="22"/>
          <w:highlight w:val="none"/>
        </w:rPr>
        <w:t>18</w:t>
      </w:r>
      <w:r>
        <w:rPr>
          <w:rFonts w:ascii="宋体" w:hAnsi="宋体" w:cs="Arial"/>
          <w:color w:val="auto"/>
          <w:sz w:val="22"/>
          <w:szCs w:val="22"/>
          <w:highlight w:val="none"/>
        </w:rPr>
        <w:t>号</w:t>
      </w:r>
      <w:r>
        <w:rPr>
          <w:rFonts w:hint="eastAsia" w:ascii="宋体" w:hAnsi="宋体" w:cs="Arial"/>
          <w:color w:val="auto"/>
          <w:sz w:val="22"/>
          <w:szCs w:val="22"/>
          <w:highlight w:val="none"/>
        </w:rPr>
        <w:t>为准；</w:t>
      </w:r>
    </w:p>
    <w:p w14:paraId="2A1BE9B5">
      <w:pPr>
        <w:spacing w:line="440" w:lineRule="exact"/>
        <w:jc w:val="left"/>
        <w:rPr>
          <w:rFonts w:ascii="宋体" w:hAnsi="宋体" w:cs="hakuyoxingshu7000"/>
          <w:color w:val="auto"/>
          <w:sz w:val="36"/>
          <w:szCs w:val="36"/>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《参与实施政府采购环境标志产品认证机构名录》内认证机构出具的有效期之内的环境标志产品认证证书（复印件加盖公章）</w:t>
      </w:r>
    </w:p>
    <w:p w14:paraId="4E9327A4">
      <w:pPr>
        <w:widowControl/>
        <w:jc w:val="left"/>
        <w:rPr>
          <w:color w:val="auto"/>
          <w:highlight w:val="none"/>
        </w:rPr>
      </w:pPr>
    </w:p>
    <w:sectPr>
      <w:footerReference r:id="rId12" w:type="first"/>
      <w:headerReference r:id="rId10" w:type="default"/>
      <w:footerReference r:id="rId11" w:type="default"/>
      <w:type w:val="nextColumn"/>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Wingdings 2">
    <w:panose1 w:val="05020102010507070707"/>
    <w:charset w:val="02"/>
    <w:family w:val="roman"/>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9509">
    <w:pPr>
      <w:pStyle w:val="42"/>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9483CC">
                          <w:pPr>
                            <w:pStyle w:val="42"/>
                          </w:pPr>
                          <w:r>
                            <w:fldChar w:fldCharType="begin"/>
                          </w:r>
                          <w:r>
                            <w:instrText xml:space="preserve"> PAGE  \* MERGEFORMAT </w:instrText>
                          </w:r>
                          <w:r>
                            <w:fldChar w:fldCharType="separate"/>
                          </w:r>
                          <w:r>
                            <w:t>4</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D9483CC">
                    <w:pPr>
                      <w:pStyle w:val="4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C9F7">
    <w:pPr>
      <w:pStyle w:val="42"/>
      <w:tabs>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3958">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B6DB12">
                          <w:pPr>
                            <w:pStyle w:val="42"/>
                          </w:pPr>
                          <w:r>
                            <w:fldChar w:fldCharType="begin"/>
                          </w:r>
                          <w:r>
                            <w:instrText xml:space="preserve"> PAGE  \* MERGEFORMAT </w:instrText>
                          </w:r>
                          <w:r>
                            <w:fldChar w:fldCharType="separate"/>
                          </w:r>
                          <w:r>
                            <w:t>47</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14:paraId="54B6DB12">
                    <w:pPr>
                      <w:pStyle w:val="42"/>
                    </w:pPr>
                    <w:r>
                      <w:fldChar w:fldCharType="begin"/>
                    </w:r>
                    <w:r>
                      <w:instrText xml:space="preserve"> PAGE  \* MERGEFORMAT </w:instrText>
                    </w:r>
                    <w:r>
                      <w:fldChar w:fldCharType="separate"/>
                    </w:r>
                    <w:r>
                      <w:t>47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73A4">
    <w:pPr>
      <w:pStyle w:val="42"/>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33F2450E">
    <w:pPr>
      <w:pStyle w:val="42"/>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0ADA">
    <w:pPr>
      <w:pStyle w:val="42"/>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B9AF">
    <w:pPr>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9EBAEC">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VCqDbKAQAAkgMAAA4AAAAAAAAAAQAgAAAAHwEAAGRycy9lMm9E&#10;b2MueG1sUEsFBgAAAAAGAAYAWQEAAFsFAAAAAA==&#10;">
              <v:fill on="f" focussize="0,0"/>
              <v:stroke on="f"/>
              <v:imagedata o:title=""/>
              <o:lock v:ext="edit" aspectratio="f"/>
              <v:textbox inset="0mm,0mm,0mm,0mm" style="mso-fit-shape-to-text:t;">
                <w:txbxContent>
                  <w:p w14:paraId="599EBAEC">
                    <w:pPr>
                      <w:jc w:val="center"/>
                    </w:pPr>
                    <w:r>
                      <w:fldChar w:fldCharType="begin"/>
                    </w:r>
                    <w:r>
                      <w:instrText xml:space="preserve"> PAGE   \* MERGEFORMAT </w:instrText>
                    </w:r>
                    <w:r>
                      <w:fldChar w:fldCharType="separate"/>
                    </w:r>
                    <w:r>
                      <w:rPr>
                        <w:lang w:val="zh-CN"/>
                      </w:rPr>
                      <w:t>49</w:t>
                    </w:r>
                    <w:r>
                      <w:rPr>
                        <w:lang w:val="zh-C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DE2C">
    <w:pPr>
      <w:pStyle w:val="42"/>
      <w:tabs>
        <w:tab w:val="clear" w:pos="4153"/>
      </w:tabs>
      <w:jc w:val="cente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BEC91A">
                          <w:pPr>
                            <w:pStyle w:val="42"/>
                          </w:pPr>
                          <w:r>
                            <w:fldChar w:fldCharType="begin"/>
                          </w:r>
                          <w:r>
                            <w:instrText xml:space="preserve"> PAGE  \* MERGEFORMAT </w:instrText>
                          </w:r>
                          <w:r>
                            <w:fldChar w:fldCharType="separate"/>
                          </w:r>
                          <w:r>
                            <w:t>48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4x3IAQAAkg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kihOW3vz86+f59/P5&#10;6QcrkkNdwJIOPoR7mDKkMMntG7DpS0JYP7h6uriq+sgkbRar5WqVsCXV5oRwspfrATDeKm9ZCioO&#10;9GyDm+L4Ge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akuMdyAEAAJIDAAAOAAAAAAAAAAEAIAAAAB8BAABkcnMvZTJvRG9j&#10;LnhtbFBLBQYAAAAABgAGAFkBAABZBQAAAAA=&#10;">
              <v:fill on="f" focussize="0,0"/>
              <v:stroke on="f"/>
              <v:imagedata o:title=""/>
              <o:lock v:ext="edit" aspectratio="f"/>
              <v:textbox inset="0mm,0mm,0mm,0mm" style="mso-fit-shape-to-text:t;">
                <w:txbxContent>
                  <w:p w14:paraId="16BEC91A">
                    <w:pPr>
                      <w:pStyle w:val="42"/>
                    </w:pPr>
                    <w:r>
                      <w:fldChar w:fldCharType="begin"/>
                    </w:r>
                    <w:r>
                      <w:instrText xml:space="preserve"> PAGE  \* MERGEFORMAT </w:instrText>
                    </w:r>
                    <w:r>
                      <w:fldChar w:fldCharType="separate"/>
                    </w:r>
                    <w:r>
                      <w:t>48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5E6E">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F4011">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322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2A9F8"/>
    <w:multiLevelType w:val="singleLevel"/>
    <w:tmpl w:val="9222A9F8"/>
    <w:lvl w:ilvl="0" w:tentative="0">
      <w:start w:val="1"/>
      <w:numFmt w:val="decimal"/>
      <w:suff w:val="space"/>
      <w:lvlText w:val="%1."/>
      <w:lvlJc w:val="left"/>
    </w:lvl>
  </w:abstractNum>
  <w:abstractNum w:abstractNumId="1">
    <w:nsid w:val="AE719A76"/>
    <w:multiLevelType w:val="multilevel"/>
    <w:tmpl w:val="AE719A76"/>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3">
    <w:nsid w:val="F48F63D4"/>
    <w:multiLevelType w:val="multilevel"/>
    <w:tmpl w:val="F48F63D4"/>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F940F0D3"/>
    <w:multiLevelType w:val="multilevel"/>
    <w:tmpl w:val="F940F0D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singleLevel"/>
    <w:tmpl w:val="00000006"/>
    <w:lvl w:ilvl="0" w:tentative="0">
      <w:start w:val="1"/>
      <w:numFmt w:val="decimal"/>
      <w:lvlText w:val="%1)"/>
      <w:lvlJc w:val="left"/>
      <w:pPr>
        <w:ind w:left="425" w:hanging="425"/>
      </w:pPr>
      <w:rPr>
        <w:rFonts w:hint="default"/>
      </w:rPr>
    </w:lvl>
  </w:abstractNum>
  <w:abstractNum w:abstractNumId="7">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9">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multilevel"/>
    <w:tmpl w:val="000000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4"/>
    <w:multiLevelType w:val="multilevel"/>
    <w:tmpl w:val="00000014"/>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4">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0"/>
    <w:multiLevelType w:val="multilevel"/>
    <w:tmpl w:val="00000020"/>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0000021"/>
    <w:multiLevelType w:val="multilevel"/>
    <w:tmpl w:val="00000021"/>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0000028"/>
    <w:multiLevelType w:val="singleLevel"/>
    <w:tmpl w:val="00000028"/>
    <w:lvl w:ilvl="0" w:tentative="0">
      <w:start w:val="1"/>
      <w:numFmt w:val="decimal"/>
      <w:lvlText w:val="%1."/>
      <w:lvlJc w:val="left"/>
      <w:pPr>
        <w:ind w:left="425" w:hanging="425"/>
      </w:pPr>
      <w:rPr>
        <w:rFonts w:hint="default"/>
      </w:rPr>
    </w:lvl>
  </w:abstractNum>
  <w:abstractNum w:abstractNumId="21">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000002E"/>
    <w:multiLevelType w:val="singleLevel"/>
    <w:tmpl w:val="0000002E"/>
    <w:lvl w:ilvl="0" w:tentative="0">
      <w:start w:val="1"/>
      <w:numFmt w:val="decimal"/>
      <w:lvlText w:val="%1."/>
      <w:lvlJc w:val="left"/>
      <w:pPr>
        <w:ind w:left="425" w:hanging="425"/>
      </w:pPr>
      <w:rPr>
        <w:rFonts w:hint="default"/>
      </w:rPr>
    </w:lvl>
  </w:abstractNum>
  <w:abstractNum w:abstractNumId="24">
    <w:nsid w:val="00000031"/>
    <w:multiLevelType w:val="multilevel"/>
    <w:tmpl w:val="00000031"/>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25">
    <w:nsid w:val="00000032"/>
    <w:multiLevelType w:val="multilevel"/>
    <w:tmpl w:val="00000032"/>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3A"/>
    <w:multiLevelType w:val="multilevel"/>
    <w:tmpl w:val="0000003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3C"/>
    <w:multiLevelType w:val="singleLevel"/>
    <w:tmpl w:val="0000003C"/>
    <w:lvl w:ilvl="0" w:tentative="0">
      <w:start w:val="1"/>
      <w:numFmt w:val="decimalEnclosedCircleChinese"/>
      <w:lvlText w:val="%1　"/>
      <w:lvlJc w:val="left"/>
      <w:pPr>
        <w:ind w:left="420" w:hanging="420"/>
      </w:pPr>
      <w:rPr>
        <w:rFonts w:hint="eastAsia"/>
      </w:rPr>
    </w:lvl>
  </w:abstractNum>
  <w:abstractNum w:abstractNumId="29">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8EDE375"/>
    <w:multiLevelType w:val="multilevel"/>
    <w:tmpl w:val="08EDE37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33">
    <w:nsid w:val="15114F6C"/>
    <w:multiLevelType w:val="multilevel"/>
    <w:tmpl w:val="15114F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1C172839"/>
    <w:multiLevelType w:val="singleLevel"/>
    <w:tmpl w:val="1C172839"/>
    <w:lvl w:ilvl="0" w:tentative="0">
      <w:start w:val="1"/>
      <w:numFmt w:val="decimal"/>
      <w:lvlText w:val="%1)"/>
      <w:lvlJc w:val="left"/>
      <w:pPr>
        <w:ind w:left="425" w:hanging="425"/>
      </w:pPr>
      <w:rPr>
        <w:rFonts w:hint="default"/>
      </w:rPr>
    </w:lvl>
  </w:abstractNum>
  <w:abstractNum w:abstractNumId="35">
    <w:nsid w:val="30A60BCF"/>
    <w:multiLevelType w:val="multilevel"/>
    <w:tmpl w:val="30A60BCF"/>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8">
    <w:nsid w:val="3EE76662"/>
    <w:multiLevelType w:val="multilevel"/>
    <w:tmpl w:val="3EE76662"/>
    <w:lvl w:ilvl="0" w:tentative="0">
      <w:start w:val="1"/>
      <w:numFmt w:val="decimal"/>
      <w:lvlText w:val="%1"/>
      <w:lvlJc w:val="left"/>
      <w:pPr>
        <w:tabs>
          <w:tab w:val="left" w:pos="570"/>
        </w:tabs>
        <w:ind w:left="570" w:hanging="570"/>
      </w:pPr>
      <w:rPr>
        <w:rFonts w:hint="default" w:hAnsi="新宋体" w:cs="Arial"/>
      </w:rPr>
    </w:lvl>
    <w:lvl w:ilvl="1" w:tentative="0">
      <w:start w:val="1"/>
      <w:numFmt w:val="decimal"/>
      <w:lvlText w:val="%1.%2"/>
      <w:lvlJc w:val="left"/>
      <w:pPr>
        <w:tabs>
          <w:tab w:val="left" w:pos="570"/>
        </w:tabs>
        <w:ind w:left="570" w:hanging="570"/>
      </w:pPr>
      <w:rPr>
        <w:rFonts w:hint="default" w:hAnsi="新宋体" w:cs="Arial"/>
      </w:rPr>
    </w:lvl>
    <w:lvl w:ilvl="2" w:tentative="0">
      <w:start w:val="1"/>
      <w:numFmt w:val="decimal"/>
      <w:lvlText w:val="%1.%2.%3"/>
      <w:lvlJc w:val="left"/>
      <w:pPr>
        <w:tabs>
          <w:tab w:val="left" w:pos="720"/>
        </w:tabs>
        <w:ind w:left="720" w:hanging="720"/>
      </w:pPr>
      <w:rPr>
        <w:rFonts w:hint="default" w:hAnsi="新宋体" w:cs="Arial"/>
      </w:rPr>
    </w:lvl>
    <w:lvl w:ilvl="3" w:tentative="0">
      <w:start w:val="1"/>
      <w:numFmt w:val="decimal"/>
      <w:lvlText w:val="%1.%2.%3.%4"/>
      <w:lvlJc w:val="left"/>
      <w:pPr>
        <w:tabs>
          <w:tab w:val="left" w:pos="1080"/>
        </w:tabs>
        <w:ind w:left="1080" w:hanging="1080"/>
      </w:pPr>
      <w:rPr>
        <w:rFonts w:hint="default" w:hAnsi="新宋体" w:cs="Arial"/>
      </w:rPr>
    </w:lvl>
    <w:lvl w:ilvl="4" w:tentative="0">
      <w:start w:val="1"/>
      <w:numFmt w:val="decimal"/>
      <w:lvlText w:val="%1.%2.%3.%4.%5"/>
      <w:lvlJc w:val="left"/>
      <w:pPr>
        <w:tabs>
          <w:tab w:val="left" w:pos="1080"/>
        </w:tabs>
        <w:ind w:left="1080" w:hanging="1080"/>
      </w:pPr>
      <w:rPr>
        <w:rFonts w:hint="default" w:hAnsi="新宋体" w:cs="Arial"/>
      </w:rPr>
    </w:lvl>
    <w:lvl w:ilvl="5" w:tentative="0">
      <w:start w:val="1"/>
      <w:numFmt w:val="decimal"/>
      <w:lvlText w:val="%1.%2.%3.%4.%5.%6"/>
      <w:lvlJc w:val="left"/>
      <w:pPr>
        <w:tabs>
          <w:tab w:val="left" w:pos="1440"/>
        </w:tabs>
        <w:ind w:left="1440" w:hanging="1440"/>
      </w:pPr>
      <w:rPr>
        <w:rFonts w:hint="default" w:hAnsi="新宋体" w:cs="Arial"/>
      </w:rPr>
    </w:lvl>
    <w:lvl w:ilvl="6" w:tentative="0">
      <w:start w:val="1"/>
      <w:numFmt w:val="decimal"/>
      <w:lvlText w:val="%1.%2.%3.%4.%5.%6.%7"/>
      <w:lvlJc w:val="left"/>
      <w:pPr>
        <w:tabs>
          <w:tab w:val="left" w:pos="1800"/>
        </w:tabs>
        <w:ind w:left="1800" w:hanging="1800"/>
      </w:pPr>
      <w:rPr>
        <w:rFonts w:hint="default" w:hAnsi="新宋体" w:cs="Arial"/>
      </w:rPr>
    </w:lvl>
    <w:lvl w:ilvl="7" w:tentative="0">
      <w:start w:val="1"/>
      <w:numFmt w:val="decimal"/>
      <w:lvlText w:val="%1.%2.%3.%4.%5.%6.%7.%8"/>
      <w:lvlJc w:val="left"/>
      <w:pPr>
        <w:tabs>
          <w:tab w:val="left" w:pos="1800"/>
        </w:tabs>
        <w:ind w:left="1800" w:hanging="1800"/>
      </w:pPr>
      <w:rPr>
        <w:rFonts w:hint="default" w:hAnsi="新宋体" w:cs="Arial"/>
      </w:rPr>
    </w:lvl>
    <w:lvl w:ilvl="8" w:tentative="0">
      <w:start w:val="1"/>
      <w:numFmt w:val="decimal"/>
      <w:lvlText w:val="%1.%2.%3.%4.%5.%6.%7.%8.%9"/>
      <w:lvlJc w:val="left"/>
      <w:pPr>
        <w:tabs>
          <w:tab w:val="left" w:pos="2160"/>
        </w:tabs>
        <w:ind w:left="2160" w:hanging="2160"/>
      </w:pPr>
      <w:rPr>
        <w:rFonts w:hint="default" w:hAnsi="新宋体" w:cs="Arial"/>
      </w:rPr>
    </w:lvl>
  </w:abstractNum>
  <w:abstractNum w:abstractNumId="39">
    <w:nsid w:val="3F7235CB"/>
    <w:multiLevelType w:val="multilevel"/>
    <w:tmpl w:val="3F7235C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40CA5093"/>
    <w:multiLevelType w:val="multilevel"/>
    <w:tmpl w:val="40CA5093"/>
    <w:lvl w:ilvl="0" w:tentative="0">
      <w:start w:val="1"/>
      <w:numFmt w:val="japaneseCounting"/>
      <w:lvlText w:val="%1、"/>
      <w:lvlJc w:val="left"/>
      <w:pPr>
        <w:ind w:left="450" w:hanging="45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DD64FA7"/>
    <w:multiLevelType w:val="multilevel"/>
    <w:tmpl w:val="4DD64FA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3">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40"/>
  </w:num>
  <w:num w:numId="2">
    <w:abstractNumId w:val="34"/>
  </w:num>
  <w:num w:numId="3">
    <w:abstractNumId w:val="2"/>
  </w:num>
  <w:num w:numId="4">
    <w:abstractNumId w:val="23"/>
  </w:num>
  <w:num w:numId="5">
    <w:abstractNumId w:val="6"/>
  </w:num>
  <w:num w:numId="6">
    <w:abstractNumId w:val="18"/>
  </w:num>
  <w:num w:numId="7">
    <w:abstractNumId w:val="1"/>
  </w:num>
  <w:num w:numId="8">
    <w:abstractNumId w:val="16"/>
  </w:num>
  <w:num w:numId="9">
    <w:abstractNumId w:val="17"/>
  </w:num>
  <w:num w:numId="10">
    <w:abstractNumId w:val="31"/>
  </w:num>
  <w:num w:numId="11">
    <w:abstractNumId w:val="14"/>
  </w:num>
  <w:num w:numId="12">
    <w:abstractNumId w:val="28"/>
  </w:num>
  <w:num w:numId="13">
    <w:abstractNumId w:val="8"/>
  </w:num>
  <w:num w:numId="14">
    <w:abstractNumId w:val="22"/>
  </w:num>
  <w:num w:numId="15">
    <w:abstractNumId w:val="43"/>
  </w:num>
  <w:num w:numId="16">
    <w:abstractNumId w:val="42"/>
  </w:num>
  <w:num w:numId="17">
    <w:abstractNumId w:val="4"/>
  </w:num>
  <w:num w:numId="18">
    <w:abstractNumId w:val="3"/>
  </w:num>
  <w:num w:numId="19">
    <w:abstractNumId w:val="37"/>
  </w:num>
  <w:num w:numId="20">
    <w:abstractNumId w:val="38"/>
  </w:num>
  <w:num w:numId="21">
    <w:abstractNumId w:val="33"/>
  </w:num>
  <w:num w:numId="22">
    <w:abstractNumId w:val="29"/>
  </w:num>
  <w:num w:numId="23">
    <w:abstractNumId w:val="36"/>
  </w:num>
  <w:num w:numId="24">
    <w:abstractNumId w:val="7"/>
  </w:num>
  <w:num w:numId="25">
    <w:abstractNumId w:val="21"/>
  </w:num>
  <w:num w:numId="26">
    <w:abstractNumId w:val="26"/>
  </w:num>
  <w:num w:numId="27">
    <w:abstractNumId w:val="15"/>
  </w:num>
  <w:num w:numId="28">
    <w:abstractNumId w:val="10"/>
  </w:num>
  <w:num w:numId="29">
    <w:abstractNumId w:val="9"/>
  </w:num>
  <w:num w:numId="30">
    <w:abstractNumId w:val="19"/>
  </w:num>
  <w:num w:numId="31">
    <w:abstractNumId w:val="5"/>
  </w:num>
  <w:num w:numId="32">
    <w:abstractNumId w:val="30"/>
  </w:num>
  <w:num w:numId="33">
    <w:abstractNumId w:val="41"/>
  </w:num>
  <w:num w:numId="34">
    <w:abstractNumId w:val="35"/>
  </w:num>
  <w:num w:numId="35">
    <w:abstractNumId w:val="39"/>
  </w:num>
  <w:num w:numId="36">
    <w:abstractNumId w:val="13"/>
  </w:num>
  <w:num w:numId="37">
    <w:abstractNumId w:val="11"/>
  </w:num>
  <w:num w:numId="38">
    <w:abstractNumId w:val="0"/>
  </w:num>
  <w:num w:numId="39">
    <w:abstractNumId w:val="32"/>
    <w:lvlOverride w:ilvl="0">
      <w:startOverride w:val="1"/>
    </w:lvlOverride>
  </w:num>
  <w:num w:numId="40">
    <w:abstractNumId w:val="12"/>
  </w:num>
  <w:num w:numId="41">
    <w:abstractNumId w:val="24"/>
  </w:num>
  <w:num w:numId="42">
    <w:abstractNumId w:val="20"/>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zcwYWMxNDc0YjRjN2UxZDk1NTg4ZWEwNTIzZDUifQ=="/>
  </w:docVars>
  <w:rsids>
    <w:rsidRoot w:val="000C1C21"/>
    <w:rsid w:val="000C1C21"/>
    <w:rsid w:val="000E4A57"/>
    <w:rsid w:val="002425C4"/>
    <w:rsid w:val="00284639"/>
    <w:rsid w:val="00392208"/>
    <w:rsid w:val="003B67B7"/>
    <w:rsid w:val="003D2C5E"/>
    <w:rsid w:val="004D77BE"/>
    <w:rsid w:val="00502E0D"/>
    <w:rsid w:val="005732C9"/>
    <w:rsid w:val="006728C8"/>
    <w:rsid w:val="006854B7"/>
    <w:rsid w:val="006D45BF"/>
    <w:rsid w:val="00727D61"/>
    <w:rsid w:val="008C1081"/>
    <w:rsid w:val="009A66E8"/>
    <w:rsid w:val="00A54F3E"/>
    <w:rsid w:val="00A73EAB"/>
    <w:rsid w:val="00A8650C"/>
    <w:rsid w:val="00A90E81"/>
    <w:rsid w:val="00AC6C2A"/>
    <w:rsid w:val="00B44E6D"/>
    <w:rsid w:val="00B90E22"/>
    <w:rsid w:val="00BE2E1D"/>
    <w:rsid w:val="00BF512B"/>
    <w:rsid w:val="00C17E48"/>
    <w:rsid w:val="00CE674E"/>
    <w:rsid w:val="00E75B55"/>
    <w:rsid w:val="00EE3B3A"/>
    <w:rsid w:val="00EF08F0"/>
    <w:rsid w:val="00F64FF5"/>
    <w:rsid w:val="01CB6A61"/>
    <w:rsid w:val="08714FC2"/>
    <w:rsid w:val="08F31643"/>
    <w:rsid w:val="10347723"/>
    <w:rsid w:val="10C71219"/>
    <w:rsid w:val="11AE2812"/>
    <w:rsid w:val="1337132E"/>
    <w:rsid w:val="137770F1"/>
    <w:rsid w:val="13B270DB"/>
    <w:rsid w:val="14B0757C"/>
    <w:rsid w:val="17AF353E"/>
    <w:rsid w:val="17BF5996"/>
    <w:rsid w:val="190B6F4D"/>
    <w:rsid w:val="191351E9"/>
    <w:rsid w:val="19585994"/>
    <w:rsid w:val="208A4E30"/>
    <w:rsid w:val="226A4DF7"/>
    <w:rsid w:val="23043CFE"/>
    <w:rsid w:val="234E4D34"/>
    <w:rsid w:val="268D6E7E"/>
    <w:rsid w:val="27567996"/>
    <w:rsid w:val="277C3C0E"/>
    <w:rsid w:val="28571D58"/>
    <w:rsid w:val="28E166D1"/>
    <w:rsid w:val="2A80260D"/>
    <w:rsid w:val="2B702BDA"/>
    <w:rsid w:val="2DF650EE"/>
    <w:rsid w:val="2EE73BDE"/>
    <w:rsid w:val="35497E8C"/>
    <w:rsid w:val="35AD6FF4"/>
    <w:rsid w:val="36835E6A"/>
    <w:rsid w:val="389F4BB3"/>
    <w:rsid w:val="391F7B8B"/>
    <w:rsid w:val="3AB97BB8"/>
    <w:rsid w:val="3B1E77A1"/>
    <w:rsid w:val="3CCA3EDE"/>
    <w:rsid w:val="3E7F2E17"/>
    <w:rsid w:val="3EFD6648"/>
    <w:rsid w:val="40A62E81"/>
    <w:rsid w:val="40DB4E75"/>
    <w:rsid w:val="41FA73AB"/>
    <w:rsid w:val="42592E10"/>
    <w:rsid w:val="42E106DB"/>
    <w:rsid w:val="43862855"/>
    <w:rsid w:val="440E14B4"/>
    <w:rsid w:val="447D2DED"/>
    <w:rsid w:val="467202F8"/>
    <w:rsid w:val="47342061"/>
    <w:rsid w:val="4C4C69CF"/>
    <w:rsid w:val="4C8E5CA5"/>
    <w:rsid w:val="4CD57288"/>
    <w:rsid w:val="4E8C7B5A"/>
    <w:rsid w:val="4FDF1C79"/>
    <w:rsid w:val="5182670F"/>
    <w:rsid w:val="51D873BC"/>
    <w:rsid w:val="52885076"/>
    <w:rsid w:val="5291667E"/>
    <w:rsid w:val="52A53BCF"/>
    <w:rsid w:val="53373F15"/>
    <w:rsid w:val="5412334E"/>
    <w:rsid w:val="55153EDF"/>
    <w:rsid w:val="56EC0F0E"/>
    <w:rsid w:val="580C4BA0"/>
    <w:rsid w:val="58C050FD"/>
    <w:rsid w:val="597337F5"/>
    <w:rsid w:val="5A966C6A"/>
    <w:rsid w:val="5D153410"/>
    <w:rsid w:val="5EC7698C"/>
    <w:rsid w:val="62310026"/>
    <w:rsid w:val="62D376AD"/>
    <w:rsid w:val="63224191"/>
    <w:rsid w:val="674B6E58"/>
    <w:rsid w:val="6A904D08"/>
    <w:rsid w:val="6B8E6784"/>
    <w:rsid w:val="6BB12556"/>
    <w:rsid w:val="6C2D7371"/>
    <w:rsid w:val="6EE16256"/>
    <w:rsid w:val="70C7741C"/>
    <w:rsid w:val="714F0E73"/>
    <w:rsid w:val="759E4985"/>
    <w:rsid w:val="764249F1"/>
    <w:rsid w:val="76CA3328"/>
    <w:rsid w:val="783577D9"/>
    <w:rsid w:val="797C0971"/>
    <w:rsid w:val="7A2250EE"/>
    <w:rsid w:val="7C4E1FEB"/>
    <w:rsid w:val="7F706791"/>
    <w:rsid w:val="7F724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nhideWhenUsed="0" w:uiPriority="1" w:semiHidden="0" w:name="endnote reference"/>
    <w:lsdException w:qFormat="1" w:unhideWhenUsed="0"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autoRedefine/>
    <w:qFormat/>
    <w:uiPriority w:val="9"/>
    <w:pPr>
      <w:keepNext/>
      <w:jc w:val="center"/>
      <w:outlineLvl w:val="0"/>
    </w:pPr>
    <w:rPr>
      <w:rFonts w:ascii="楷体_GB2312" w:eastAsia="楷体_GB2312"/>
      <w:b/>
      <w:bCs/>
    </w:rPr>
  </w:style>
  <w:style w:type="paragraph" w:styleId="4">
    <w:name w:val="heading 2"/>
    <w:basedOn w:val="1"/>
    <w:next w:val="1"/>
    <w:link w:val="818"/>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165"/>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0">
    <w:name w:val="heading 8"/>
    <w:basedOn w:val="1"/>
    <w:next w:val="1"/>
    <w:link w:val="166"/>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167"/>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42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3">
    <w:name w:val="Note Heading"/>
    <w:basedOn w:val="1"/>
    <w:next w:val="1"/>
    <w:link w:val="419"/>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4">
    <w:name w:val="List Number"/>
    <w:basedOn w:val="1"/>
    <w:autoRedefine/>
    <w:qFormat/>
    <w:uiPriority w:val="0"/>
    <w:pPr>
      <w:tabs>
        <w:tab w:val="left" w:pos="360"/>
      </w:tabs>
      <w:ind w:left="360" w:hanging="360" w:hangingChars="200"/>
    </w:pPr>
    <w:rPr>
      <w:rFonts w:ascii="等线" w:hAnsi="等线" w:eastAsia="等线" w:cs="等线"/>
    </w:rPr>
  </w:style>
  <w:style w:type="paragraph" w:styleId="15">
    <w:name w:val="Normal Indent"/>
    <w:basedOn w:val="1"/>
    <w:next w:val="16"/>
    <w:link w:val="100"/>
    <w:autoRedefine/>
    <w:qFormat/>
    <w:uiPriority w:val="0"/>
    <w:pPr>
      <w:adjustRightInd w:val="0"/>
      <w:spacing w:line="312" w:lineRule="atLeast"/>
      <w:ind w:firstLine="420"/>
      <w:textAlignment w:val="baseline"/>
    </w:pPr>
    <w:rPr>
      <w:kern w:val="0"/>
      <w:szCs w:val="20"/>
    </w:rPr>
  </w:style>
  <w:style w:type="paragraph" w:styleId="16">
    <w:name w:val="Body Text 3"/>
    <w:basedOn w:val="1"/>
    <w:link w:val="422"/>
    <w:autoRedefine/>
    <w:qFormat/>
    <w:uiPriority w:val="0"/>
    <w:pPr>
      <w:autoSpaceDE w:val="0"/>
      <w:autoSpaceDN w:val="0"/>
      <w:adjustRightInd w:val="0"/>
      <w:jc w:val="center"/>
    </w:pPr>
    <w:rPr>
      <w:rFonts w:ascii="等线" w:hAnsi="等线" w:eastAsia="等线" w:cs="等线"/>
      <w:kern w:val="0"/>
      <w:sz w:val="20"/>
      <w:szCs w:val="20"/>
    </w:rPr>
  </w:style>
  <w:style w:type="paragraph" w:styleId="17">
    <w:name w:val="caption"/>
    <w:basedOn w:val="1"/>
    <w:next w:val="1"/>
    <w:autoRedefine/>
    <w:qFormat/>
    <w:uiPriority w:val="0"/>
    <w:rPr>
      <w:rFonts w:ascii="Cambria" w:hAnsi="Cambria" w:eastAsia="黑体"/>
      <w:sz w:val="20"/>
      <w:szCs w:val="20"/>
    </w:rPr>
  </w:style>
  <w:style w:type="paragraph" w:styleId="18">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19">
    <w:name w:val="Document Map"/>
    <w:basedOn w:val="1"/>
    <w:link w:val="204"/>
    <w:autoRedefine/>
    <w:qFormat/>
    <w:uiPriority w:val="0"/>
    <w:pPr>
      <w:shd w:val="clear" w:color="auto" w:fill="000080"/>
    </w:pPr>
  </w:style>
  <w:style w:type="paragraph" w:styleId="20">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1">
    <w:name w:val="annotation text"/>
    <w:basedOn w:val="1"/>
    <w:link w:val="111"/>
    <w:autoRedefine/>
    <w:qFormat/>
    <w:uiPriority w:val="1"/>
    <w:pPr>
      <w:jc w:val="left"/>
    </w:pPr>
  </w:style>
  <w:style w:type="paragraph" w:styleId="22">
    <w:name w:val="Salutation"/>
    <w:basedOn w:val="1"/>
    <w:next w:val="1"/>
    <w:link w:val="407"/>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3">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4">
    <w:name w:val="Body Text"/>
    <w:basedOn w:val="1"/>
    <w:next w:val="25"/>
    <w:link w:val="87"/>
    <w:autoRedefine/>
    <w:qFormat/>
    <w:uiPriority w:val="99"/>
    <w:pPr>
      <w:spacing w:after="120"/>
    </w:pPr>
  </w:style>
  <w:style w:type="paragraph" w:styleId="25">
    <w:name w:val="Body Text First Indent"/>
    <w:basedOn w:val="24"/>
    <w:next w:val="26"/>
    <w:link w:val="99"/>
    <w:autoRedefine/>
    <w:qFormat/>
    <w:uiPriority w:val="0"/>
    <w:pPr>
      <w:ind w:firstLine="420" w:firstLineChars="100"/>
    </w:pPr>
  </w:style>
  <w:style w:type="paragraph" w:styleId="26">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27">
    <w:name w:val="Body Text Indent"/>
    <w:basedOn w:val="1"/>
    <w:link w:val="88"/>
    <w:autoRedefine/>
    <w:qFormat/>
    <w:uiPriority w:val="0"/>
    <w:pPr>
      <w:ind w:left="480" w:hanging="480" w:hangingChars="200"/>
    </w:pPr>
    <w:rPr>
      <w:sz w:val="24"/>
    </w:rPr>
  </w:style>
  <w:style w:type="paragraph" w:styleId="28">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9">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next w:val="35"/>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2"/>
    <w:basedOn w:val="1"/>
    <w:next w:val="1"/>
    <w:autoRedefine/>
    <w:qFormat/>
    <w:uiPriority w:val="39"/>
    <w:pPr>
      <w:ind w:left="420" w:leftChars="200"/>
    </w:pPr>
  </w:style>
  <w:style w:type="paragraph" w:styleId="36">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82"/>
    <w:autoRedefine/>
    <w:qFormat/>
    <w:uiPriority w:val="0"/>
    <w:pPr>
      <w:ind w:left="100" w:leftChars="2500"/>
    </w:pPr>
  </w:style>
  <w:style w:type="paragraph" w:styleId="39">
    <w:name w:val="Body Text Indent 2"/>
    <w:basedOn w:val="1"/>
    <w:link w:val="304"/>
    <w:autoRedefine/>
    <w:qFormat/>
    <w:uiPriority w:val="0"/>
    <w:pPr>
      <w:spacing w:line="500" w:lineRule="exact"/>
      <w:ind w:firstLine="511" w:firstLineChars="213"/>
    </w:pPr>
    <w:rPr>
      <w:sz w:val="24"/>
    </w:rPr>
  </w:style>
  <w:style w:type="paragraph" w:styleId="40">
    <w:name w:val="endnote text"/>
    <w:basedOn w:val="1"/>
    <w:link w:val="757"/>
    <w:autoRedefine/>
    <w:qFormat/>
    <w:uiPriority w:val="1"/>
    <w:pPr>
      <w:snapToGrid w:val="0"/>
      <w:spacing w:line="360" w:lineRule="auto"/>
      <w:ind w:firstLine="200" w:firstLineChars="200"/>
      <w:jc w:val="left"/>
    </w:pPr>
    <w:rPr>
      <w:sz w:val="28"/>
    </w:rPr>
  </w:style>
  <w:style w:type="paragraph" w:styleId="41">
    <w:name w:val="Balloon Text"/>
    <w:basedOn w:val="1"/>
    <w:link w:val="267"/>
    <w:autoRedefine/>
    <w:qFormat/>
    <w:uiPriority w:val="0"/>
    <w:rPr>
      <w:sz w:val="18"/>
      <w:szCs w:val="18"/>
    </w:rPr>
  </w:style>
  <w:style w:type="paragraph" w:styleId="42">
    <w:name w:val="footer"/>
    <w:basedOn w:val="1"/>
    <w:link w:val="86"/>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0"/>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39"/>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35"/>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34"/>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Body Text Indent 3"/>
    <w:basedOn w:val="1"/>
    <w:link w:val="201"/>
    <w:autoRedefine/>
    <w:qFormat/>
    <w:uiPriority w:val="0"/>
    <w:pPr>
      <w:spacing w:line="500" w:lineRule="exact"/>
      <w:ind w:left="511" w:hanging="511" w:hangingChars="213"/>
    </w:pPr>
    <w:rPr>
      <w:sz w:val="24"/>
    </w:rPr>
  </w:style>
  <w:style w:type="paragraph" w:styleId="52">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3"/>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6"/>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4"/>
    <w:autoRedefine/>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5"/>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1"/>
    <w:next w:val="21"/>
    <w:link w:val="168"/>
    <w:autoRedefine/>
    <w:qFormat/>
    <w:uiPriority w:val="1"/>
    <w:rPr>
      <w:b/>
      <w:bCs/>
    </w:rPr>
  </w:style>
  <w:style w:type="paragraph" w:styleId="61">
    <w:name w:val="Body Text First Indent 2"/>
    <w:basedOn w:val="27"/>
    <w:link w:val="437"/>
    <w:autoRedefine/>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标题 1 Char"/>
    <w:link w:val="3"/>
    <w:autoRedefine/>
    <w:qFormat/>
    <w:uiPriority w:val="9"/>
    <w:rPr>
      <w:rFonts w:ascii="楷体_GB2312" w:eastAsia="楷体_GB2312"/>
      <w:b/>
      <w:bCs/>
      <w:kern w:val="2"/>
      <w:sz w:val="21"/>
      <w:szCs w:val="24"/>
    </w:rPr>
  </w:style>
  <w:style w:type="character" w:customStyle="1" w:styleId="77">
    <w:name w:val="标题 2 字符"/>
    <w:autoRedefine/>
    <w:qFormat/>
    <w:uiPriority w:val="9"/>
    <w:rPr>
      <w:rFonts w:ascii="Cambria" w:hAnsi="Cambria" w:eastAsia="宋体" w:cs="Times New Roman"/>
      <w:b/>
      <w:bCs/>
      <w:kern w:val="2"/>
      <w:sz w:val="32"/>
      <w:szCs w:val="32"/>
    </w:rPr>
  </w:style>
  <w:style w:type="character" w:customStyle="1" w:styleId="78">
    <w:name w:val="标题 3 Char"/>
    <w:link w:val="5"/>
    <w:autoRedefine/>
    <w:qFormat/>
    <w:uiPriority w:val="9"/>
    <w:rPr>
      <w:b/>
      <w:bCs/>
      <w:kern w:val="2"/>
      <w:sz w:val="32"/>
      <w:szCs w:val="32"/>
      <w:lang w:bidi="ar-SA"/>
    </w:rPr>
  </w:style>
  <w:style w:type="character" w:customStyle="1" w:styleId="79">
    <w:name w:val="标题 4 Char"/>
    <w:link w:val="6"/>
    <w:autoRedefine/>
    <w:qFormat/>
    <w:uiPriority w:val="0"/>
    <w:rPr>
      <w:rFonts w:ascii="Cambria" w:hAnsi="Cambria" w:eastAsia="宋体"/>
      <w:b/>
      <w:bCs/>
      <w:kern w:val="2"/>
      <w:sz w:val="28"/>
      <w:szCs w:val="28"/>
      <w:lang w:bidi="ar-SA"/>
    </w:rPr>
  </w:style>
  <w:style w:type="character" w:customStyle="1" w:styleId="80">
    <w:name w:val="标题 5 Char"/>
    <w:link w:val="7"/>
    <w:autoRedefine/>
    <w:qFormat/>
    <w:uiPriority w:val="9"/>
    <w:rPr>
      <w:b/>
      <w:bCs/>
      <w:kern w:val="2"/>
      <w:sz w:val="28"/>
      <w:szCs w:val="28"/>
    </w:rPr>
  </w:style>
  <w:style w:type="character" w:customStyle="1" w:styleId="81">
    <w:name w:val="标题 6 Char"/>
    <w:link w:val="8"/>
    <w:autoRedefine/>
    <w:qFormat/>
    <w:uiPriority w:val="9"/>
    <w:rPr>
      <w:rFonts w:ascii="Cambria" w:hAnsi="Cambria" w:eastAsia="宋体" w:cs="Times New Roman"/>
      <w:b/>
      <w:bCs/>
      <w:kern w:val="2"/>
      <w:sz w:val="24"/>
      <w:szCs w:val="24"/>
    </w:rPr>
  </w:style>
  <w:style w:type="character" w:customStyle="1" w:styleId="82">
    <w:name w:val="日期 Char"/>
    <w:link w:val="38"/>
    <w:autoRedefine/>
    <w:qFormat/>
    <w:uiPriority w:val="0"/>
    <w:rPr>
      <w:kern w:val="2"/>
      <w:sz w:val="21"/>
      <w:szCs w:val="24"/>
    </w:rPr>
  </w:style>
  <w:style w:type="character" w:customStyle="1" w:styleId="83">
    <w:name w:val="样式6 列表并列 Char"/>
    <w:link w:val="84"/>
    <w:autoRedefine/>
    <w:qFormat/>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Char"/>
    <w:link w:val="42"/>
    <w:autoRedefine/>
    <w:qFormat/>
    <w:uiPriority w:val="99"/>
    <w:rPr>
      <w:kern w:val="2"/>
      <w:sz w:val="18"/>
      <w:szCs w:val="18"/>
    </w:rPr>
  </w:style>
  <w:style w:type="character" w:customStyle="1" w:styleId="87">
    <w:name w:val="正文文本 Char"/>
    <w:link w:val="24"/>
    <w:autoRedefine/>
    <w:qFormat/>
    <w:uiPriority w:val="99"/>
    <w:rPr>
      <w:kern w:val="2"/>
      <w:sz w:val="21"/>
      <w:szCs w:val="24"/>
    </w:rPr>
  </w:style>
  <w:style w:type="character" w:customStyle="1" w:styleId="88">
    <w:name w:val="正文文本缩进 Char"/>
    <w:link w:val="27"/>
    <w:autoRedefine/>
    <w:qFormat/>
    <w:uiPriority w:val="0"/>
    <w:rPr>
      <w:kern w:val="2"/>
      <w:sz w:val="24"/>
      <w:szCs w:val="24"/>
    </w:rPr>
  </w:style>
  <w:style w:type="character" w:customStyle="1" w:styleId="89">
    <w:name w:val="纯文本 Char"/>
    <w:link w:val="34"/>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autoRedefine/>
    <w:qFormat/>
    <w:uiPriority w:val="0"/>
    <w:rPr>
      <w:rFonts w:hint="eastAsia" w:ascii="宋体" w:hAnsi="宋体" w:eastAsia="宋体" w:cs="宋体"/>
      <w:b/>
      <w:color w:val="000000"/>
      <w:sz w:val="21"/>
      <w:szCs w:val="21"/>
      <w:u w:val="none"/>
    </w:rPr>
  </w:style>
  <w:style w:type="character" w:customStyle="1" w:styleId="96">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首行缩进 Char"/>
    <w:basedOn w:val="87"/>
    <w:link w:val="25"/>
    <w:autoRedefine/>
    <w:qFormat/>
    <w:uiPriority w:val="0"/>
    <w:rPr>
      <w:kern w:val="2"/>
      <w:sz w:val="21"/>
      <w:szCs w:val="24"/>
    </w:rPr>
  </w:style>
  <w:style w:type="character" w:customStyle="1" w:styleId="100">
    <w:name w:val="正文缩进 Char"/>
    <w:link w:val="15"/>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7"/>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5"/>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Char"/>
    <w:link w:val="21"/>
    <w:autoRedefine/>
    <w:qFormat/>
    <w:uiPriority w:val="1"/>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19"/>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0"/>
    <w:pPr>
      <w:ind w:firstLine="420" w:firstLineChars="200"/>
    </w:pPr>
  </w:style>
  <w:style w:type="paragraph" w:customStyle="1" w:styleId="122">
    <w:name w:val="BZ_六级标题"/>
    <w:basedOn w:val="8"/>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5"/>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19"/>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3"/>
    <w:next w:val="93"/>
    <w:link w:val="174"/>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24"/>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next w:val="136"/>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Char Char Char Char1"/>
    <w:basedOn w:val="1"/>
    <w:autoRedefine/>
    <w:qFormat/>
    <w:uiPriority w:val="0"/>
    <w:rPr>
      <w:rFonts w:ascii="Tahoma" w:hAnsi="Tahoma"/>
      <w:sz w:val="24"/>
      <w:szCs w:val="20"/>
    </w:rPr>
  </w:style>
  <w:style w:type="paragraph" w:customStyle="1" w:styleId="138">
    <w:name w:val="Char Char Char Char Char Char Char Char Char Char Char Char Char"/>
    <w:basedOn w:val="1"/>
    <w:autoRedefine/>
    <w:qFormat/>
    <w:uiPriority w:val="0"/>
    <w:rPr>
      <w:rFonts w:ascii="Tahoma" w:hAnsi="Tahoma"/>
      <w:sz w:val="24"/>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7"/>
    <w:next w:val="93"/>
    <w:autoRedefine/>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autoRedefine/>
    <w:qFormat/>
    <w:uiPriority w:val="0"/>
    <w:rPr>
      <w:rFonts w:ascii="Tahoma" w:hAnsi="Tahoma"/>
      <w:sz w:val="24"/>
      <w:szCs w:val="20"/>
    </w:rPr>
  </w:style>
  <w:style w:type="paragraph" w:customStyle="1" w:styleId="142">
    <w:name w:val="Char Char Char Char Char Char Char2"/>
    <w:basedOn w:val="1"/>
    <w:autoRedefine/>
    <w:qFormat/>
    <w:uiPriority w:val="0"/>
    <w:rPr>
      <w:rFonts w:ascii="仿宋_GB2312" w:eastAsia="仿宋_GB2312"/>
      <w:b/>
      <w:sz w:val="32"/>
      <w:szCs w:val="32"/>
    </w:rPr>
  </w:style>
  <w:style w:type="paragraph" w:customStyle="1" w:styleId="143">
    <w:name w:val="1"/>
    <w:basedOn w:val="15"/>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4"/>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autoRedefine/>
    <w:qFormat/>
    <w:uiPriority w:val="0"/>
    <w:rPr>
      <w:rFonts w:ascii="仿宋_GB2312" w:eastAsia="仿宋_GB2312"/>
      <w:b/>
      <w:sz w:val="32"/>
      <w:szCs w:val="32"/>
    </w:rPr>
  </w:style>
  <w:style w:type="character" w:customStyle="1" w:styleId="149">
    <w:name w:val="纯文本 Char1"/>
    <w:autoRedefine/>
    <w:qFormat/>
    <w:uiPriority w:val="0"/>
    <w:rPr>
      <w:rFonts w:ascii="宋体" w:hAnsi="Courier New"/>
      <w:kern w:val="2"/>
      <w:sz w:val="21"/>
      <w:szCs w:val="24"/>
    </w:rPr>
  </w:style>
  <w:style w:type="paragraph" w:customStyle="1" w:styleId="150">
    <w:name w:val="样式6"/>
    <w:basedOn w:val="1"/>
    <w:autoRedefine/>
    <w:qFormat/>
    <w:uiPriority w:val="0"/>
    <w:pPr>
      <w:spacing w:line="360" w:lineRule="auto"/>
      <w:ind w:firstLine="200" w:firstLineChars="200"/>
      <w:jc w:val="left"/>
    </w:pPr>
    <w:rPr>
      <w:sz w:val="24"/>
    </w:rPr>
  </w:style>
  <w:style w:type="paragraph" w:customStyle="1" w:styleId="15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autoRedefine/>
    <w:qFormat/>
    <w:uiPriority w:val="0"/>
    <w:rPr>
      <w:rFonts w:eastAsia="仿宋"/>
      <w:sz w:val="28"/>
    </w:rPr>
  </w:style>
  <w:style w:type="paragraph" w:customStyle="1" w:styleId="153">
    <w:name w:val="正文首行缩进2字符"/>
    <w:basedOn w:val="1"/>
    <w:link w:val="152"/>
    <w:autoRedefine/>
    <w:qFormat/>
    <w:uiPriority w:val="0"/>
    <w:pPr>
      <w:spacing w:line="360" w:lineRule="auto"/>
      <w:ind w:firstLine="200" w:firstLineChars="200"/>
    </w:pPr>
    <w:rPr>
      <w:rFonts w:eastAsia="仿宋"/>
      <w:kern w:val="0"/>
      <w:sz w:val="28"/>
      <w:szCs w:val="20"/>
    </w:rPr>
  </w:style>
  <w:style w:type="character" w:customStyle="1" w:styleId="154">
    <w:name w:val="generalinfo-address-text"/>
    <w:basedOn w:val="65"/>
    <w:autoRedefine/>
    <w:qFormat/>
    <w:uiPriority w:val="0"/>
  </w:style>
  <w:style w:type="character" w:customStyle="1" w:styleId="155">
    <w:name w:val="标题 Char"/>
    <w:link w:val="59"/>
    <w:autoRedefine/>
    <w:qFormat/>
    <w:uiPriority w:val="0"/>
    <w:rPr>
      <w:rFonts w:ascii="Verdana" w:hAnsi="Verdana" w:eastAsia="仿宋_GB2312"/>
      <w:b/>
      <w:bCs/>
      <w:sz w:val="32"/>
      <w:szCs w:val="32"/>
    </w:rPr>
  </w:style>
  <w:style w:type="paragraph" w:customStyle="1" w:styleId="156">
    <w:name w:val="方案正文"/>
    <w:basedOn w:val="1"/>
    <w:link w:val="157"/>
    <w:autoRedefine/>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autoRedefine/>
    <w:qFormat/>
    <w:uiPriority w:val="0"/>
    <w:rPr>
      <w:rFonts w:ascii="Century Gothic" w:hAnsi="Century Gothic" w:cs="Times New Roman"/>
      <w:kern w:val="2"/>
      <w:sz w:val="21"/>
      <w:szCs w:val="28"/>
    </w:rPr>
  </w:style>
  <w:style w:type="paragraph" w:customStyle="1" w:styleId="158">
    <w:name w:val="正文缩进1"/>
    <w:basedOn w:val="1"/>
    <w:autoRedefine/>
    <w:qFormat/>
    <w:uiPriority w:val="0"/>
    <w:pPr>
      <w:spacing w:line="360" w:lineRule="auto"/>
      <w:ind w:firstLine="454"/>
      <w:jc w:val="left"/>
    </w:pPr>
    <w:rPr>
      <w:sz w:val="24"/>
    </w:rPr>
  </w:style>
  <w:style w:type="character" w:customStyle="1" w:styleId="159">
    <w:name w:val="ant-form-item-children"/>
    <w:basedOn w:val="65"/>
    <w:autoRedefine/>
    <w:qFormat/>
    <w:uiPriority w:val="0"/>
  </w:style>
  <w:style w:type="paragraph" w:customStyle="1" w:styleId="160">
    <w:name w:val="BZ_四级标题"/>
    <w:basedOn w:val="6"/>
    <w:next w:val="1"/>
    <w:link w:val="308"/>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autoRedefine/>
    <w:qFormat/>
    <w:uiPriority w:val="0"/>
    <w:pPr>
      <w:spacing w:beforeLines="50" w:afterLines="50"/>
    </w:pPr>
    <w:rPr>
      <w:rFonts w:ascii="Calibri" w:hAnsi="Calibri"/>
      <w:szCs w:val="20"/>
    </w:rPr>
  </w:style>
  <w:style w:type="paragraph" w:customStyle="1" w:styleId="16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Char"/>
    <w:link w:val="57"/>
    <w:autoRedefine/>
    <w:qFormat/>
    <w:uiPriority w:val="0"/>
    <w:rPr>
      <w:rFonts w:ascii="宋体" w:hAnsi="宋体" w:cs="宋体"/>
      <w:sz w:val="24"/>
      <w:szCs w:val="24"/>
    </w:rPr>
  </w:style>
  <w:style w:type="character" w:customStyle="1" w:styleId="165">
    <w:name w:val="标题 7 Char"/>
    <w:basedOn w:val="65"/>
    <w:link w:val="9"/>
    <w:autoRedefine/>
    <w:qFormat/>
    <w:uiPriority w:val="9"/>
    <w:rPr>
      <w:rFonts w:eastAsia="等线"/>
      <w:b/>
      <w:kern w:val="2"/>
      <w:sz w:val="24"/>
      <w:szCs w:val="24"/>
    </w:rPr>
  </w:style>
  <w:style w:type="character" w:customStyle="1" w:styleId="166">
    <w:name w:val="标题 8 Char"/>
    <w:basedOn w:val="65"/>
    <w:link w:val="10"/>
    <w:autoRedefine/>
    <w:qFormat/>
    <w:uiPriority w:val="9"/>
    <w:rPr>
      <w:rFonts w:ascii="Arial" w:hAnsi="Arial" w:eastAsia="黑体"/>
      <w:kern w:val="2"/>
      <w:sz w:val="24"/>
      <w:szCs w:val="24"/>
    </w:rPr>
  </w:style>
  <w:style w:type="character" w:customStyle="1" w:styleId="167">
    <w:name w:val="标题 9 Char"/>
    <w:basedOn w:val="65"/>
    <w:link w:val="11"/>
    <w:autoRedefine/>
    <w:qFormat/>
    <w:uiPriority w:val="9"/>
    <w:rPr>
      <w:rFonts w:ascii="Arial" w:hAnsi="Arial" w:eastAsia="黑体"/>
      <w:kern w:val="2"/>
      <w:sz w:val="24"/>
      <w:szCs w:val="24"/>
    </w:rPr>
  </w:style>
  <w:style w:type="character" w:customStyle="1" w:styleId="168">
    <w:name w:val="批注主题 Char"/>
    <w:link w:val="60"/>
    <w:autoRedefine/>
    <w:qFormat/>
    <w:uiPriority w:val="1"/>
    <w:rPr>
      <w:b/>
      <w:bCs/>
      <w:kern w:val="2"/>
      <w:sz w:val="21"/>
      <w:szCs w:val="24"/>
    </w:rPr>
  </w:style>
  <w:style w:type="character" w:customStyle="1" w:styleId="169">
    <w:name w:val="Char Char112"/>
    <w:autoRedefine/>
    <w:qFormat/>
    <w:uiPriority w:val="0"/>
    <w:rPr>
      <w:rFonts w:eastAsia="仿宋_GB2312"/>
      <w:kern w:val="2"/>
      <w:sz w:val="21"/>
      <w:szCs w:val="24"/>
      <w:lang w:val="en-US" w:eastAsia="zh-CN" w:bidi="ar-SA"/>
    </w:rPr>
  </w:style>
  <w:style w:type="character" w:customStyle="1" w:styleId="170">
    <w:name w:val="No Spacing Char"/>
    <w:link w:val="171"/>
    <w:autoRedefine/>
    <w:qFormat/>
    <w:uiPriority w:val="0"/>
    <w:rPr>
      <w:rFonts w:ascii="Calibri" w:hAnsi="Calibri" w:eastAsia="仿宋_GB2312"/>
      <w:sz w:val="28"/>
      <w:szCs w:val="22"/>
    </w:rPr>
  </w:style>
  <w:style w:type="paragraph" w:customStyle="1" w:styleId="171">
    <w:name w:val="无间隔1"/>
    <w:link w:val="170"/>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autoRedefine/>
    <w:qFormat/>
    <w:uiPriority w:val="0"/>
    <w:rPr>
      <w:rFonts w:eastAsia="仿宋_GB2312"/>
      <w:kern w:val="2"/>
      <w:sz w:val="21"/>
      <w:szCs w:val="24"/>
      <w:lang w:val="en-US" w:eastAsia="zh-CN" w:bidi="ar-SA"/>
    </w:rPr>
  </w:style>
  <w:style w:type="character" w:customStyle="1" w:styleId="173">
    <w:name w:val="明显强调1"/>
    <w:autoRedefine/>
    <w:qFormat/>
    <w:uiPriority w:val="0"/>
    <w:rPr>
      <w:rFonts w:eastAsia="宋体"/>
      <w:b/>
      <w:bCs/>
      <w:iCs/>
      <w:color w:val="auto"/>
      <w:sz w:val="24"/>
    </w:rPr>
  </w:style>
  <w:style w:type="character" w:customStyle="1" w:styleId="174">
    <w:name w:val="BZ_一级标题 Char"/>
    <w:link w:val="129"/>
    <w:autoRedefine/>
    <w:qFormat/>
    <w:uiPriority w:val="0"/>
    <w:rPr>
      <w:rFonts w:eastAsia="华文中宋"/>
      <w:b/>
      <w:bCs/>
      <w:kern w:val="44"/>
      <w:sz w:val="36"/>
      <w:szCs w:val="36"/>
    </w:rPr>
  </w:style>
  <w:style w:type="character" w:customStyle="1" w:styleId="175">
    <w:name w:val="样式 宋体 小四 行距: 1.5 倍行距 Char"/>
    <w:link w:val="176"/>
    <w:autoRedefine/>
    <w:qFormat/>
    <w:uiPriority w:val="0"/>
    <w:rPr>
      <w:rFonts w:ascii="宋体" w:hAnsi="宋体" w:cs="宋体"/>
      <w:kern w:val="2"/>
      <w:sz w:val="24"/>
    </w:rPr>
  </w:style>
  <w:style w:type="paragraph" w:customStyle="1" w:styleId="176">
    <w:name w:val="样式 宋体 小四 行距: 1.5 倍行距"/>
    <w:basedOn w:val="1"/>
    <w:link w:val="175"/>
    <w:autoRedefine/>
    <w:qFormat/>
    <w:uiPriority w:val="0"/>
    <w:pPr>
      <w:spacing w:line="360" w:lineRule="auto"/>
      <w:ind w:firstLine="540" w:firstLineChars="225"/>
    </w:pPr>
    <w:rPr>
      <w:rFonts w:ascii="宋体" w:hAnsi="宋体" w:cs="宋体"/>
      <w:sz w:val="24"/>
      <w:szCs w:val="20"/>
    </w:rPr>
  </w:style>
  <w:style w:type="character" w:customStyle="1" w:styleId="177">
    <w:name w:val="正文1 Char Char"/>
    <w:autoRedefine/>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autoRedefine/>
    <w:qFormat/>
    <w:uiPriority w:val="0"/>
    <w:rPr>
      <w:kern w:val="2"/>
      <w:sz w:val="24"/>
      <w:szCs w:val="24"/>
    </w:rPr>
  </w:style>
  <w:style w:type="paragraph" w:customStyle="1" w:styleId="179">
    <w:name w:val="编号正文缩进"/>
    <w:basedOn w:val="15"/>
    <w:link w:val="178"/>
    <w:autoRedefine/>
    <w:qFormat/>
    <w:uiPriority w:val="0"/>
    <w:pPr>
      <w:tabs>
        <w:tab w:val="left" w:pos="1497"/>
      </w:tabs>
      <w:spacing w:line="400" w:lineRule="atLeast"/>
      <w:ind w:left="567" w:firstLine="510"/>
    </w:pPr>
    <w:rPr>
      <w:kern w:val="2"/>
      <w:sz w:val="24"/>
      <w:szCs w:val="24"/>
    </w:rPr>
  </w:style>
  <w:style w:type="character" w:customStyle="1" w:styleId="180">
    <w:name w:val="Char Char18"/>
    <w:autoRedefine/>
    <w:qFormat/>
    <w:uiPriority w:val="0"/>
    <w:rPr>
      <w:b/>
      <w:bCs/>
      <w:kern w:val="2"/>
      <w:sz w:val="32"/>
      <w:szCs w:val="32"/>
    </w:rPr>
  </w:style>
  <w:style w:type="character" w:customStyle="1" w:styleId="181">
    <w:name w:val="样式1 Char"/>
    <w:link w:val="182"/>
    <w:autoRedefine/>
    <w:qFormat/>
    <w:uiPriority w:val="0"/>
    <w:rPr>
      <w:rFonts w:ascii="楷体_GB2312" w:hAnsi="Calibri" w:eastAsia="楷体_GB2312"/>
      <w:kern w:val="2"/>
      <w:sz w:val="24"/>
      <w:szCs w:val="24"/>
    </w:rPr>
  </w:style>
  <w:style w:type="paragraph" w:customStyle="1" w:styleId="182">
    <w:name w:val="样式1"/>
    <w:basedOn w:val="183"/>
    <w:link w:val="181"/>
    <w:autoRedefine/>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autoRedefine/>
    <w:qFormat/>
    <w:uiPriority w:val="34"/>
    <w:pPr>
      <w:ind w:firstLine="420" w:firstLineChars="200"/>
    </w:pPr>
    <w:rPr>
      <w:rFonts w:ascii="Calibri" w:hAnsi="Calibri" w:eastAsia="等线" w:cs="黑体"/>
      <w:szCs w:val="22"/>
    </w:rPr>
  </w:style>
  <w:style w:type="character" w:customStyle="1" w:styleId="184">
    <w:name w:val="Style3"/>
    <w:autoRedefine/>
    <w:qFormat/>
    <w:uiPriority w:val="0"/>
    <w:rPr>
      <w:rFonts w:ascii="Century Gothic" w:hAnsi="仿宋_GB2312" w:eastAsia="仿宋_GB2312" w:cs="新宋体"/>
      <w:szCs w:val="22"/>
      <w:lang w:eastAsia="zh-CN"/>
    </w:rPr>
  </w:style>
  <w:style w:type="character" w:customStyle="1" w:styleId="185">
    <w:name w:val="副标题 Char1"/>
    <w:autoRedefine/>
    <w:qFormat/>
    <w:uiPriority w:val="11"/>
    <w:rPr>
      <w:rFonts w:ascii="Cambria" w:hAnsi="Cambria" w:cs="Times New Roman"/>
      <w:b/>
      <w:bCs/>
      <w:kern w:val="28"/>
      <w:sz w:val="32"/>
      <w:szCs w:val="32"/>
    </w:rPr>
  </w:style>
  <w:style w:type="character" w:customStyle="1" w:styleId="186">
    <w:name w:val="Style4"/>
    <w:autoRedefine/>
    <w:qFormat/>
    <w:uiPriority w:val="0"/>
    <w:rPr>
      <w:rFonts w:ascii="Century Gothic" w:hAnsi="仿宋_GB2312" w:eastAsia="仿宋_GB2312" w:cs="新宋体"/>
      <w:szCs w:val="22"/>
      <w:lang w:eastAsia="zh-CN"/>
    </w:rPr>
  </w:style>
  <w:style w:type="character" w:customStyle="1" w:styleId="187">
    <w:name w:val="页眉注释 Char Char"/>
    <w:link w:val="188"/>
    <w:autoRedefine/>
    <w:qFormat/>
    <w:uiPriority w:val="0"/>
    <w:rPr>
      <w:rFonts w:ascii="华文细黑" w:hAnsi="华文细黑" w:eastAsia="华文细黑"/>
      <w:b/>
      <w:color w:val="FFFFFF"/>
      <w:kern w:val="2"/>
      <w:sz w:val="18"/>
      <w:szCs w:val="18"/>
    </w:rPr>
  </w:style>
  <w:style w:type="paragraph" w:customStyle="1" w:styleId="188">
    <w:name w:val="页眉注释"/>
    <w:basedOn w:val="1"/>
    <w:link w:val="187"/>
    <w:autoRedefine/>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autoRedefine/>
    <w:qFormat/>
    <w:uiPriority w:val="0"/>
    <w:rPr>
      <w:rFonts w:ascii="Verdana" w:hAnsi="Verdana" w:eastAsia="仿宋_GB2312"/>
      <w:b/>
      <w:bCs/>
      <w:kern w:val="2"/>
      <w:sz w:val="32"/>
      <w:szCs w:val="32"/>
      <w:lang w:val="en-US" w:eastAsia="zh-CN" w:bidi="ar-SA"/>
    </w:rPr>
  </w:style>
  <w:style w:type="character" w:customStyle="1" w:styleId="190">
    <w:name w:val="heading 4 Char"/>
    <w:autoRedefine/>
    <w:qFormat/>
    <w:uiPriority w:val="0"/>
    <w:rPr>
      <w:rFonts w:ascii="Tahoma" w:hAnsi="Tahoma" w:eastAsia="Helvetica" w:cs="新宋体"/>
      <w:sz w:val="21"/>
      <w:szCs w:val="21"/>
    </w:rPr>
  </w:style>
  <w:style w:type="character" w:customStyle="1" w:styleId="191">
    <w:name w:val="Char Char16"/>
    <w:autoRedefine/>
    <w:qFormat/>
    <w:uiPriority w:val="0"/>
    <w:rPr>
      <w:b/>
      <w:bCs/>
      <w:kern w:val="2"/>
      <w:sz w:val="28"/>
      <w:szCs w:val="28"/>
    </w:rPr>
  </w:style>
  <w:style w:type="character" w:customStyle="1" w:styleId="192">
    <w:name w:val="Char Char23"/>
    <w:autoRedefine/>
    <w:qFormat/>
    <w:uiPriority w:val="0"/>
    <w:rPr>
      <w:rFonts w:eastAsia="仿宋_GB2312"/>
      <w:b/>
      <w:bCs/>
      <w:kern w:val="2"/>
      <w:sz w:val="32"/>
      <w:szCs w:val="32"/>
      <w:lang w:val="en-US" w:eastAsia="zh-CN" w:bidi="ar-SA"/>
    </w:rPr>
  </w:style>
  <w:style w:type="character" w:customStyle="1" w:styleId="193">
    <w:name w:val="apple-converted-space"/>
    <w:autoRedefine/>
    <w:qFormat/>
    <w:uiPriority w:val="0"/>
  </w:style>
  <w:style w:type="character" w:customStyle="1" w:styleId="194">
    <w:name w:val="Char Char25"/>
    <w:autoRedefine/>
    <w:qFormat/>
    <w:uiPriority w:val="0"/>
    <w:rPr>
      <w:rFonts w:ascii="Arial Unicode MS" w:eastAsia="Arial Unicode MS"/>
      <w:b/>
      <w:bCs/>
      <w:kern w:val="2"/>
      <w:sz w:val="21"/>
      <w:szCs w:val="24"/>
      <w:lang w:val="en-US" w:eastAsia="zh-CN" w:bidi="ar-SA"/>
    </w:rPr>
  </w:style>
  <w:style w:type="character" w:customStyle="1" w:styleId="195">
    <w:name w:val="heading 3 Char1"/>
    <w:autoRedefine/>
    <w:qFormat/>
    <w:uiPriority w:val="0"/>
    <w:rPr>
      <w:rFonts w:eastAsia="仿宋_GB2312"/>
      <w:b/>
      <w:bCs/>
      <w:kern w:val="2"/>
      <w:sz w:val="32"/>
      <w:szCs w:val="32"/>
      <w:lang w:val="en-US" w:eastAsia="zh-CN" w:bidi="ar-SA"/>
    </w:rPr>
  </w:style>
  <w:style w:type="character" w:customStyle="1" w:styleId="196">
    <w:name w:val="不明显强调1"/>
    <w:autoRedefine/>
    <w:qFormat/>
    <w:uiPriority w:val="0"/>
    <w:rPr>
      <w:i/>
      <w:iCs/>
      <w:color w:val="808080"/>
    </w:rPr>
  </w:style>
  <w:style w:type="character" w:customStyle="1" w:styleId="197">
    <w:name w:val="pt141"/>
    <w:autoRedefine/>
    <w:qFormat/>
    <w:uiPriority w:val="0"/>
    <w:rPr>
      <w:color w:val="330066"/>
      <w:spacing w:val="450"/>
      <w:sz w:val="22"/>
      <w:szCs w:val="22"/>
    </w:rPr>
  </w:style>
  <w:style w:type="character" w:customStyle="1" w:styleId="198">
    <w:name w:val="无间隔 Char"/>
    <w:link w:val="199"/>
    <w:autoRedefine/>
    <w:qFormat/>
    <w:uiPriority w:val="1"/>
    <w:rPr>
      <w:rFonts w:ascii="Century Gothic" w:hAnsi="Century Gothic" w:eastAsia="Times New Roman"/>
      <w:sz w:val="22"/>
      <w:szCs w:val="22"/>
    </w:rPr>
  </w:style>
  <w:style w:type="paragraph" w:styleId="199">
    <w:name w:val="No Spacing"/>
    <w:link w:val="198"/>
    <w:autoRedefine/>
    <w:qFormat/>
    <w:uiPriority w:val="1"/>
    <w:rPr>
      <w:rFonts w:ascii="Century Gothic" w:hAnsi="Century Gothic" w:eastAsia="Times New Roman" w:cs="Times New Roman"/>
      <w:sz w:val="22"/>
      <w:szCs w:val="22"/>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正文文本缩进 3 Char"/>
    <w:link w:val="51"/>
    <w:autoRedefine/>
    <w:qFormat/>
    <w:uiPriority w:val="0"/>
    <w:rPr>
      <w:kern w:val="2"/>
      <w:sz w:val="24"/>
      <w:szCs w:val="24"/>
    </w:rPr>
  </w:style>
  <w:style w:type="character" w:customStyle="1" w:styleId="202">
    <w:name w:val="样式2 Char"/>
    <w:link w:val="203"/>
    <w:autoRedefine/>
    <w:qFormat/>
    <w:uiPriority w:val="0"/>
    <w:rPr>
      <w:rFonts w:ascii="仿宋_GB2312" w:hAnsi="仿宋_GB2312" w:eastAsia="仿宋_GB2312"/>
      <w:bCs/>
      <w:kern w:val="2"/>
      <w:sz w:val="28"/>
      <w:szCs w:val="28"/>
    </w:rPr>
  </w:style>
  <w:style w:type="paragraph" w:customStyle="1" w:styleId="203">
    <w:name w:val="样式2"/>
    <w:basedOn w:val="4"/>
    <w:link w:val="202"/>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Char"/>
    <w:link w:val="19"/>
    <w:autoRedefine/>
    <w:qFormat/>
    <w:uiPriority w:val="0"/>
    <w:rPr>
      <w:kern w:val="2"/>
      <w:sz w:val="21"/>
      <w:szCs w:val="24"/>
      <w:shd w:val="clear" w:color="auto" w:fill="000080"/>
    </w:rPr>
  </w:style>
  <w:style w:type="character" w:customStyle="1" w:styleId="205">
    <w:name w:val="1233 Char"/>
    <w:link w:val="206"/>
    <w:autoRedefine/>
    <w:qFormat/>
    <w:uiPriority w:val="0"/>
    <w:rPr>
      <w:rFonts w:ascii="仿宋" w:hAnsi="仿宋" w:eastAsia="仿宋"/>
      <w:b/>
      <w:bCs/>
      <w:kern w:val="44"/>
      <w:sz w:val="24"/>
      <w:szCs w:val="24"/>
    </w:rPr>
  </w:style>
  <w:style w:type="paragraph" w:customStyle="1" w:styleId="206">
    <w:name w:val="1233"/>
    <w:basedOn w:val="3"/>
    <w:link w:val="205"/>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autoRedefine/>
    <w:qFormat/>
    <w:uiPriority w:val="0"/>
    <w:rPr>
      <w:rFonts w:ascii="Tahoma" w:hAnsi="Tahoma" w:eastAsia="Helvetica" w:cs="新宋体"/>
      <w:sz w:val="30"/>
      <w:szCs w:val="24"/>
    </w:rPr>
  </w:style>
  <w:style w:type="character" w:customStyle="1" w:styleId="208">
    <w:name w:val="Intense Emphasis1"/>
    <w:autoRedefine/>
    <w:qFormat/>
    <w:uiPriority w:val="0"/>
    <w:rPr>
      <w:b/>
      <w:bCs/>
      <w:i/>
      <w:iCs/>
      <w:color w:val="4F81BD"/>
    </w:rPr>
  </w:style>
  <w:style w:type="character" w:customStyle="1" w:styleId="209">
    <w:name w:val="emailstyle16"/>
    <w:autoRedefine/>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autoRedefine/>
    <w:qFormat/>
    <w:uiPriority w:val="0"/>
    <w:rPr>
      <w:kern w:val="2"/>
      <w:sz w:val="21"/>
      <w:szCs w:val="24"/>
    </w:rPr>
  </w:style>
  <w:style w:type="paragraph" w:customStyle="1" w:styleId="211">
    <w:name w:val="正文靠右"/>
    <w:basedOn w:val="1"/>
    <w:link w:val="210"/>
    <w:autoRedefine/>
    <w:qFormat/>
    <w:uiPriority w:val="0"/>
    <w:pPr>
      <w:jc w:val="right"/>
    </w:pPr>
  </w:style>
  <w:style w:type="character" w:customStyle="1" w:styleId="212">
    <w:name w:val="Char Char111"/>
    <w:autoRedefine/>
    <w:qFormat/>
    <w:uiPriority w:val="0"/>
    <w:rPr>
      <w:rFonts w:ascii="新宋体" w:hAnsi="新宋体" w:eastAsia="仿宋_GB2312" w:cs="新宋体"/>
      <w:sz w:val="18"/>
      <w:szCs w:val="18"/>
    </w:rPr>
  </w:style>
  <w:style w:type="character" w:customStyle="1" w:styleId="213">
    <w:name w:val="HTML 预设格式 Char1"/>
    <w:autoRedefine/>
    <w:qFormat/>
    <w:uiPriority w:val="0"/>
    <w:rPr>
      <w:rFonts w:ascii="宋体" w:hAnsi="宋体" w:cs="宋体"/>
      <w:sz w:val="24"/>
      <w:szCs w:val="24"/>
    </w:rPr>
  </w:style>
  <w:style w:type="character" w:customStyle="1" w:styleId="214">
    <w:name w:val="正文缩进 字符"/>
    <w:autoRedefine/>
    <w:qFormat/>
    <w:uiPriority w:val="0"/>
    <w:rPr>
      <w:sz w:val="28"/>
    </w:rPr>
  </w:style>
  <w:style w:type="character" w:customStyle="1" w:styleId="215">
    <w:name w:val="Style1"/>
    <w:autoRedefine/>
    <w:qFormat/>
    <w:uiPriority w:val="0"/>
    <w:rPr>
      <w:rFonts w:ascii="Century Gothic" w:hAnsi="仿宋_GB2312" w:eastAsia="仿宋_GB2312" w:cs="新宋体"/>
      <w:sz w:val="22"/>
      <w:szCs w:val="22"/>
      <w:lang w:eastAsia="zh-CN"/>
    </w:rPr>
  </w:style>
  <w:style w:type="character" w:customStyle="1" w:styleId="216">
    <w:name w:val="BZ_封面_名称 Char"/>
    <w:link w:val="217"/>
    <w:autoRedefine/>
    <w:qFormat/>
    <w:uiPriority w:val="0"/>
    <w:rPr>
      <w:rFonts w:eastAsia="黑体"/>
      <w:kern w:val="2"/>
      <w:sz w:val="44"/>
      <w:szCs w:val="44"/>
    </w:rPr>
  </w:style>
  <w:style w:type="paragraph" w:customStyle="1" w:styleId="217">
    <w:name w:val="BZ_封面_名称"/>
    <w:basedOn w:val="1"/>
    <w:link w:val="216"/>
    <w:autoRedefine/>
    <w:qFormat/>
    <w:uiPriority w:val="0"/>
    <w:pPr>
      <w:widowControl/>
      <w:jc w:val="center"/>
    </w:pPr>
    <w:rPr>
      <w:rFonts w:eastAsia="黑体"/>
      <w:sz w:val="44"/>
      <w:szCs w:val="44"/>
    </w:rPr>
  </w:style>
  <w:style w:type="character" w:customStyle="1" w:styleId="218">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9">
    <w:name w:val="kpk:3级 Char"/>
    <w:link w:val="220"/>
    <w:autoRedefine/>
    <w:qFormat/>
    <w:uiPriority w:val="0"/>
    <w:rPr>
      <w:rFonts w:ascii="黑体" w:eastAsia="黑体"/>
      <w:b/>
      <w:bCs/>
      <w:kern w:val="2"/>
      <w:sz w:val="24"/>
      <w:szCs w:val="24"/>
    </w:rPr>
  </w:style>
  <w:style w:type="paragraph" w:customStyle="1" w:styleId="220">
    <w:name w:val="kpk:3级"/>
    <w:basedOn w:val="5"/>
    <w:link w:val="219"/>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autoRedefine/>
    <w:qFormat/>
    <w:uiPriority w:val="0"/>
    <w:rPr>
      <w:rFonts w:ascii="Tahoma" w:hAnsi="Tahoma" w:eastAsia="Helvetica"/>
      <w:sz w:val="21"/>
      <w:szCs w:val="21"/>
      <w:lang w:val="en-US" w:eastAsia="zh-CN" w:bidi="ar-SA"/>
    </w:rPr>
  </w:style>
  <w:style w:type="character" w:customStyle="1" w:styleId="222">
    <w:name w:val="Table Text Char Char"/>
    <w:autoRedefine/>
    <w:qFormat/>
    <w:uiPriority w:val="0"/>
    <w:rPr>
      <w:rFonts w:eastAsia="仿宋_GB2312"/>
      <w:sz w:val="24"/>
      <w:lang w:bidi="ar-SA"/>
    </w:rPr>
  </w:style>
  <w:style w:type="character" w:customStyle="1" w:styleId="223">
    <w:name w:val="heading 4 Char1"/>
    <w:autoRedefine/>
    <w:qFormat/>
    <w:uiPriority w:val="0"/>
    <w:rPr>
      <w:rFonts w:ascii="Verdana" w:hAnsi="Verdana" w:eastAsia="仿宋_GB2312"/>
      <w:b/>
      <w:bCs/>
      <w:kern w:val="2"/>
      <w:sz w:val="28"/>
      <w:szCs w:val="28"/>
      <w:lang w:val="en-US" w:eastAsia="zh-CN" w:bidi="ar-SA"/>
    </w:rPr>
  </w:style>
  <w:style w:type="character" w:customStyle="1" w:styleId="224">
    <w:name w:val="a61"/>
    <w:autoRedefine/>
    <w:qFormat/>
    <w:uiPriority w:val="0"/>
    <w:rPr>
      <w:rFonts w:hint="eastAsia" w:ascii="宋体" w:hAnsi="宋体" w:eastAsia="宋体"/>
      <w:kern w:val="2"/>
      <w:sz w:val="23"/>
      <w:szCs w:val="23"/>
      <w:lang w:val="en-US" w:eastAsia="zh-CN" w:bidi="ar-SA"/>
    </w:rPr>
  </w:style>
  <w:style w:type="character" w:customStyle="1" w:styleId="225">
    <w:name w:val="kpk:4级 Char1"/>
    <w:link w:val="226"/>
    <w:autoRedefine/>
    <w:qFormat/>
    <w:uiPriority w:val="0"/>
    <w:rPr>
      <w:rFonts w:ascii="Arial" w:hAnsi="Arial" w:eastAsia="黑体"/>
      <w:bCs/>
      <w:sz w:val="24"/>
      <w:szCs w:val="28"/>
    </w:rPr>
  </w:style>
  <w:style w:type="paragraph" w:customStyle="1" w:styleId="226">
    <w:name w:val="kpk:4级"/>
    <w:basedOn w:val="6"/>
    <w:link w:val="225"/>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autoRedefine/>
    <w:qFormat/>
    <w:uiPriority w:val="0"/>
    <w:rPr>
      <w:rFonts w:ascii="Tahoma" w:hAnsi="Tahoma" w:eastAsia="Helvetica"/>
      <w:sz w:val="28"/>
      <w:szCs w:val="24"/>
    </w:rPr>
  </w:style>
  <w:style w:type="character" w:customStyle="1" w:styleId="228">
    <w:name w:val="heading 4 Char2"/>
    <w:autoRedefine/>
    <w:qFormat/>
    <w:uiPriority w:val="0"/>
    <w:rPr>
      <w:rFonts w:ascii="Verdana" w:hAnsi="Verdana"/>
      <w:b/>
      <w:bCs/>
      <w:kern w:val="2"/>
      <w:sz w:val="28"/>
      <w:szCs w:val="28"/>
    </w:rPr>
  </w:style>
  <w:style w:type="character" w:customStyle="1" w:styleId="229">
    <w:name w:val="样式 标题 3 + 黑体 小四 Char Char"/>
    <w:autoRedefine/>
    <w:qFormat/>
    <w:uiPriority w:val="0"/>
    <w:rPr>
      <w:rFonts w:ascii="Helvetica" w:hAnsi="Tahoma" w:eastAsia="Helvetica"/>
      <w:bCs/>
      <w:sz w:val="24"/>
      <w:szCs w:val="24"/>
      <w:lang w:bidi="ar-SA"/>
    </w:rPr>
  </w:style>
  <w:style w:type="character" w:customStyle="1" w:styleId="230">
    <w:name w:val="四级标题 Char"/>
    <w:link w:val="231"/>
    <w:autoRedefine/>
    <w:qFormat/>
    <w:uiPriority w:val="0"/>
    <w:rPr>
      <w:rFonts w:eastAsia="黑体"/>
      <w:b/>
      <w:kern w:val="2"/>
      <w:sz w:val="28"/>
      <w:szCs w:val="22"/>
    </w:rPr>
  </w:style>
  <w:style w:type="paragraph" w:customStyle="1" w:styleId="231">
    <w:name w:val="四级标题"/>
    <w:basedOn w:val="1"/>
    <w:link w:val="230"/>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autoRedefine/>
    <w:qFormat/>
    <w:uiPriority w:val="0"/>
    <w:rPr>
      <w:rFonts w:eastAsia="楷体_GB2312"/>
      <w:b/>
      <w:snapToGrid/>
      <w:sz w:val="28"/>
    </w:rPr>
  </w:style>
  <w:style w:type="character" w:customStyle="1" w:styleId="233">
    <w:name w:val="heading 5 Char2"/>
    <w:autoRedefine/>
    <w:qFormat/>
    <w:uiPriority w:val="0"/>
    <w:rPr>
      <w:b/>
      <w:bCs/>
      <w:kern w:val="2"/>
      <w:sz w:val="28"/>
      <w:szCs w:val="28"/>
    </w:rPr>
  </w:style>
  <w:style w:type="character" w:customStyle="1" w:styleId="234">
    <w:name w:val="书籍标题1"/>
    <w:autoRedefine/>
    <w:qFormat/>
    <w:uiPriority w:val="0"/>
    <w:rPr>
      <w:b/>
      <w:bCs/>
      <w:smallCaps/>
      <w:spacing w:val="5"/>
    </w:rPr>
  </w:style>
  <w:style w:type="character" w:customStyle="1" w:styleId="235">
    <w:name w:val="Ò³Ã¼ Char Char2"/>
    <w:autoRedefine/>
    <w:qFormat/>
    <w:uiPriority w:val="0"/>
    <w:rPr>
      <w:kern w:val="2"/>
      <w:sz w:val="18"/>
      <w:szCs w:val="18"/>
    </w:rPr>
  </w:style>
  <w:style w:type="character" w:customStyle="1" w:styleId="236">
    <w:name w:val="不明显参考1"/>
    <w:autoRedefine/>
    <w:qFormat/>
    <w:uiPriority w:val="0"/>
    <w:rPr>
      <w:smallCaps/>
      <w:color w:val="C0504D"/>
      <w:u w:val="single"/>
    </w:rPr>
  </w:style>
  <w:style w:type="character" w:customStyle="1" w:styleId="237">
    <w:name w:val="标题 6 字符"/>
    <w:autoRedefine/>
    <w:qFormat/>
    <w:uiPriority w:val="0"/>
    <w:rPr>
      <w:rFonts w:ascii="Arial" w:hAnsi="Arial" w:eastAsia="黑体"/>
      <w:spacing w:val="20"/>
      <w:kern w:val="2"/>
      <w:sz w:val="28"/>
    </w:rPr>
  </w:style>
  <w:style w:type="character" w:customStyle="1" w:styleId="238">
    <w:name w:val="A3 Char Char"/>
    <w:autoRedefine/>
    <w:qFormat/>
    <w:uiPriority w:val="0"/>
    <w:rPr>
      <w:rFonts w:eastAsia="宋体"/>
      <w:b/>
      <w:bCs/>
      <w:sz w:val="32"/>
      <w:szCs w:val="32"/>
      <w:lang w:bidi="ar-SA"/>
    </w:rPr>
  </w:style>
  <w:style w:type="character" w:customStyle="1" w:styleId="239">
    <w:name w:val="Footer-Even Char"/>
    <w:autoRedefine/>
    <w:qFormat/>
    <w:uiPriority w:val="0"/>
    <w:rPr>
      <w:sz w:val="18"/>
      <w:szCs w:val="18"/>
    </w:rPr>
  </w:style>
  <w:style w:type="character" w:customStyle="1" w:styleId="240">
    <w:name w:val="标题 8 字符"/>
    <w:autoRedefine/>
    <w:qFormat/>
    <w:uiPriority w:val="0"/>
    <w:rPr>
      <w:rFonts w:ascii="Arial" w:hAnsi="Arial" w:eastAsia="黑体"/>
      <w:kern w:val="2"/>
      <w:sz w:val="24"/>
      <w:vertAlign w:val="superscript"/>
    </w:rPr>
  </w:style>
  <w:style w:type="character" w:customStyle="1" w:styleId="241">
    <w:name w:val="标题 1 字符"/>
    <w:autoRedefine/>
    <w:qFormat/>
    <w:uiPriority w:val="0"/>
    <w:rPr>
      <w:rFonts w:eastAsia="黑体"/>
      <w:snapToGrid/>
      <w:sz w:val="44"/>
    </w:rPr>
  </w:style>
  <w:style w:type="character" w:customStyle="1" w:styleId="242">
    <w:name w:val="content_title1"/>
    <w:autoRedefine/>
    <w:qFormat/>
    <w:uiPriority w:val="0"/>
    <w:rPr>
      <w:rFonts w:eastAsia="宋体"/>
      <w:color w:val="9A1601"/>
      <w:kern w:val="2"/>
      <w:sz w:val="21"/>
      <w:szCs w:val="21"/>
      <w:lang w:val="en-US" w:eastAsia="zh-CN" w:bidi="ar-SA"/>
    </w:rPr>
  </w:style>
  <w:style w:type="character" w:customStyle="1" w:styleId="243">
    <w:name w:val="正文文本 2 Char"/>
    <w:autoRedefine/>
    <w:qFormat/>
    <w:uiPriority w:val="0"/>
    <w:rPr>
      <w:rFonts w:ascii="等线" w:hAnsi="等线" w:eastAsia="等线" w:cs="等线"/>
    </w:rPr>
  </w:style>
  <w:style w:type="character" w:customStyle="1" w:styleId="244">
    <w:name w:val="标题 7 字符"/>
    <w:autoRedefine/>
    <w:qFormat/>
    <w:uiPriority w:val="0"/>
    <w:rPr>
      <w:b/>
      <w:kern w:val="2"/>
      <w:sz w:val="24"/>
      <w:vertAlign w:val="superscript"/>
    </w:rPr>
  </w:style>
  <w:style w:type="character" w:customStyle="1" w:styleId="245">
    <w:name w:val="Char Char6"/>
    <w:autoRedefine/>
    <w:qFormat/>
    <w:uiPriority w:val="0"/>
    <w:rPr>
      <w:rFonts w:ascii="新宋体" w:hAnsi="新宋体" w:eastAsia="仿宋_GB2312" w:cs="新宋体"/>
      <w:szCs w:val="24"/>
    </w:rPr>
  </w:style>
  <w:style w:type="character" w:customStyle="1" w:styleId="246">
    <w:name w:val="标题 5 字符"/>
    <w:autoRedefine/>
    <w:qFormat/>
    <w:uiPriority w:val="0"/>
    <w:rPr>
      <w:kern w:val="2"/>
      <w:sz w:val="28"/>
    </w:rPr>
  </w:style>
  <w:style w:type="character" w:customStyle="1" w:styleId="247">
    <w:name w:val="smalltxt1"/>
    <w:autoRedefine/>
    <w:qFormat/>
    <w:uiPriority w:val="0"/>
    <w:rPr>
      <w:rFonts w:hint="default" w:ascii="宋体,Verdana,Arial" w:hAnsi="宋体,Verdana,Arial"/>
      <w:sz w:val="24"/>
      <w:szCs w:val="24"/>
    </w:rPr>
  </w:style>
  <w:style w:type="character" w:customStyle="1" w:styleId="248">
    <w:name w:val="正文居中 Char Char"/>
    <w:link w:val="249"/>
    <w:autoRedefine/>
    <w:qFormat/>
    <w:uiPriority w:val="0"/>
    <w:rPr>
      <w:kern w:val="2"/>
      <w:sz w:val="21"/>
      <w:szCs w:val="24"/>
    </w:rPr>
  </w:style>
  <w:style w:type="paragraph" w:customStyle="1" w:styleId="249">
    <w:name w:val="正文居中"/>
    <w:basedOn w:val="1"/>
    <w:link w:val="248"/>
    <w:autoRedefine/>
    <w:qFormat/>
    <w:uiPriority w:val="0"/>
    <w:pPr>
      <w:jc w:val="center"/>
    </w:pPr>
  </w:style>
  <w:style w:type="character" w:customStyle="1" w:styleId="250">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1">
    <w:name w:val="heading 6 Char1"/>
    <w:autoRedefine/>
    <w:qFormat/>
    <w:uiPriority w:val="0"/>
    <w:rPr>
      <w:rFonts w:ascii="Tahoma" w:hAnsi="Tahoma" w:eastAsia="Helvetica"/>
      <w:kern w:val="2"/>
      <w:sz w:val="24"/>
      <w:szCs w:val="24"/>
      <w:lang w:val="en-US" w:eastAsia="zh-CN" w:bidi="ar-SA"/>
    </w:rPr>
  </w:style>
  <w:style w:type="character" w:customStyle="1" w:styleId="252">
    <w:name w:val="正文文本缩进 2 字符"/>
    <w:autoRedefine/>
    <w:qFormat/>
    <w:uiPriority w:val="0"/>
    <w:rPr>
      <w:sz w:val="28"/>
    </w:rPr>
  </w:style>
  <w:style w:type="character" w:customStyle="1" w:styleId="253">
    <w:name w:val="正文文本缩进 字符"/>
    <w:autoRedefine/>
    <w:qFormat/>
    <w:uiPriority w:val="0"/>
    <w:rPr>
      <w:sz w:val="28"/>
    </w:rPr>
  </w:style>
  <w:style w:type="character" w:customStyle="1" w:styleId="254">
    <w:name w:val="t11"/>
    <w:autoRedefine/>
    <w:qFormat/>
    <w:uiPriority w:val="0"/>
    <w:rPr>
      <w:rFonts w:eastAsia="宋体"/>
      <w:color w:val="333333"/>
      <w:kern w:val="2"/>
      <w:sz w:val="18"/>
      <w:szCs w:val="18"/>
      <w:lang w:val="en-US" w:eastAsia="zh-CN" w:bidi="ar-SA"/>
    </w:rPr>
  </w:style>
  <w:style w:type="character" w:customStyle="1" w:styleId="255">
    <w:name w:val="正文文本 Char Char"/>
    <w:autoRedefine/>
    <w:qFormat/>
    <w:uiPriority w:val="0"/>
    <w:rPr>
      <w:rFonts w:ascii="Times New Roman" w:hAnsi="Times New Roman"/>
      <w:kern w:val="2"/>
      <w:sz w:val="21"/>
      <w:szCs w:val="24"/>
    </w:rPr>
  </w:style>
  <w:style w:type="character" w:customStyle="1" w:styleId="256">
    <w:name w:val="引用 Char"/>
    <w:autoRedefine/>
    <w:qFormat/>
    <w:uiPriority w:val="0"/>
    <w:rPr>
      <w:rFonts w:ascii="Century Gothic" w:hAnsi="Century Gothic" w:eastAsia="仿宋_GB2312"/>
      <w:i/>
      <w:iCs/>
      <w:color w:val="000000"/>
    </w:rPr>
  </w:style>
  <w:style w:type="paragraph" w:styleId="257">
    <w:name w:val="Quote"/>
    <w:basedOn w:val="1"/>
    <w:next w:val="1"/>
    <w:link w:val="458"/>
    <w:autoRedefine/>
    <w:qFormat/>
    <w:uiPriority w:val="0"/>
    <w:rPr>
      <w:rFonts w:ascii="Century Gothic" w:hAnsi="Century Gothic" w:eastAsia="仿宋_GB2312"/>
      <w:i/>
      <w:iCs/>
      <w:color w:val="000000"/>
      <w:kern w:val="0"/>
      <w:sz w:val="20"/>
      <w:szCs w:val="20"/>
    </w:rPr>
  </w:style>
  <w:style w:type="character" w:customStyle="1" w:styleId="258">
    <w:name w:val="Plain Text Char"/>
    <w:autoRedefine/>
    <w:qFormat/>
    <w:uiPriority w:val="0"/>
    <w:rPr>
      <w:rFonts w:ascii="仿宋_GB2312" w:hAnsi="Wingdings" w:eastAsia="仿宋_GB2312" w:cs="新宋体"/>
      <w:sz w:val="21"/>
      <w:szCs w:val="21"/>
    </w:rPr>
  </w:style>
  <w:style w:type="character" w:customStyle="1" w:styleId="259">
    <w:name w:val="A4 Char Char"/>
    <w:autoRedefine/>
    <w:qFormat/>
    <w:uiPriority w:val="0"/>
    <w:rPr>
      <w:rFonts w:ascii="Cambria" w:hAnsi="Cambria" w:eastAsia="宋体"/>
      <w:b/>
      <w:bCs/>
      <w:sz w:val="28"/>
      <w:szCs w:val="28"/>
    </w:rPr>
  </w:style>
  <w:style w:type="character" w:customStyle="1" w:styleId="260">
    <w:name w:val="正文4 Char"/>
    <w:autoRedefine/>
    <w:qFormat/>
    <w:uiPriority w:val="0"/>
    <w:rPr>
      <w:rFonts w:ascii="新宋体" w:hAnsi="新宋体" w:eastAsia="宋体" w:cs="新宋体"/>
      <w:kern w:val="2"/>
      <w:sz w:val="24"/>
      <w:szCs w:val="24"/>
      <w:lang w:val="en-US" w:eastAsia="zh-CN" w:bidi="ar-SA"/>
    </w:rPr>
  </w:style>
  <w:style w:type="character" w:customStyle="1" w:styleId="261">
    <w:name w:val="heading 5 Char1"/>
    <w:autoRedefine/>
    <w:qFormat/>
    <w:uiPriority w:val="0"/>
    <w:rPr>
      <w:rFonts w:eastAsia="仿宋_GB2312"/>
      <w:b/>
      <w:bCs/>
      <w:kern w:val="2"/>
      <w:sz w:val="28"/>
      <w:szCs w:val="28"/>
      <w:lang w:val="en-US" w:eastAsia="zh-CN" w:bidi="ar-SA"/>
    </w:rPr>
  </w:style>
  <w:style w:type="character" w:customStyle="1" w:styleId="262">
    <w:name w:val="Char Char22"/>
    <w:autoRedefine/>
    <w:qFormat/>
    <w:uiPriority w:val="0"/>
    <w:rPr>
      <w:rFonts w:ascii="Tahoma" w:hAnsi="Tahoma" w:eastAsia="Helvetica"/>
      <w:b/>
      <w:bCs/>
      <w:kern w:val="44"/>
      <w:sz w:val="30"/>
      <w:szCs w:val="44"/>
      <w:lang w:val="en-US" w:eastAsia="zh-CN" w:bidi="ar-SA"/>
    </w:rPr>
  </w:style>
  <w:style w:type="character" w:customStyle="1" w:styleId="263">
    <w:name w:val="表格 Char Char"/>
    <w:link w:val="264"/>
    <w:autoRedefine/>
    <w:qFormat/>
    <w:uiPriority w:val="0"/>
    <w:rPr>
      <w:rFonts w:ascii="仿宋_GB2312" w:hAnsi="仿宋_GB2312" w:eastAsia="仿宋_GB2312"/>
    </w:rPr>
  </w:style>
  <w:style w:type="paragraph" w:customStyle="1" w:styleId="264">
    <w:name w:val="表格"/>
    <w:basedOn w:val="1"/>
    <w:link w:val="263"/>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autoRedefine/>
    <w:qFormat/>
    <w:uiPriority w:val="0"/>
    <w:rPr>
      <w:rFonts w:ascii="黑体" w:eastAsia="华文中宋"/>
      <w:b/>
      <w:kern w:val="44"/>
      <w:sz w:val="36"/>
      <w:szCs w:val="44"/>
    </w:rPr>
  </w:style>
  <w:style w:type="paragraph" w:customStyle="1" w:styleId="266">
    <w:name w:val="一级标题"/>
    <w:basedOn w:val="3"/>
    <w:link w:val="265"/>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Char"/>
    <w:link w:val="41"/>
    <w:autoRedefine/>
    <w:qFormat/>
    <w:uiPriority w:val="0"/>
    <w:rPr>
      <w:kern w:val="2"/>
      <w:sz w:val="18"/>
      <w:szCs w:val="18"/>
    </w:rPr>
  </w:style>
  <w:style w:type="character" w:customStyle="1" w:styleId="268">
    <w:name w:val="正文（小四+1.25倍行距） Char"/>
    <w:link w:val="269"/>
    <w:autoRedefine/>
    <w:qFormat/>
    <w:uiPriority w:val="0"/>
    <w:rPr>
      <w:sz w:val="24"/>
      <w:szCs w:val="24"/>
    </w:rPr>
  </w:style>
  <w:style w:type="paragraph" w:customStyle="1" w:styleId="269">
    <w:name w:val="正文（小四+1.25倍行距）"/>
    <w:basedOn w:val="1"/>
    <w:link w:val="268"/>
    <w:autoRedefine/>
    <w:qFormat/>
    <w:uiPriority w:val="0"/>
    <w:pPr>
      <w:spacing w:afterLines="50" w:line="300" w:lineRule="auto"/>
      <w:ind w:firstLine="420"/>
    </w:pPr>
    <w:rPr>
      <w:kern w:val="0"/>
      <w:sz w:val="24"/>
    </w:rPr>
  </w:style>
  <w:style w:type="character" w:customStyle="1" w:styleId="270">
    <w:name w:val="Ò³Ã¼ Char Char1"/>
    <w:autoRedefine/>
    <w:qFormat/>
    <w:uiPriority w:val="0"/>
    <w:rPr>
      <w:rFonts w:eastAsia="仿宋_GB2312"/>
      <w:kern w:val="2"/>
      <w:sz w:val="18"/>
      <w:szCs w:val="18"/>
      <w:lang w:val="en-US" w:eastAsia="zh-CN" w:bidi="ar-SA"/>
    </w:rPr>
  </w:style>
  <w:style w:type="character" w:customStyle="1" w:styleId="271">
    <w:name w:val="正文首行缩进 字符"/>
    <w:basedOn w:val="272"/>
    <w:autoRedefine/>
    <w:qFormat/>
    <w:uiPriority w:val="0"/>
    <w:rPr>
      <w:rFonts w:ascii="宋体"/>
      <w:sz w:val="21"/>
    </w:rPr>
  </w:style>
  <w:style w:type="character" w:customStyle="1" w:styleId="272">
    <w:name w:val="正文文本 字符"/>
    <w:autoRedefine/>
    <w:qFormat/>
    <w:uiPriority w:val="0"/>
    <w:rPr>
      <w:rFonts w:ascii="宋体"/>
      <w:sz w:val="21"/>
    </w:rPr>
  </w:style>
  <w:style w:type="character" w:customStyle="1" w:styleId="273">
    <w:name w:val="信息标题 Char"/>
    <w:autoRedefine/>
    <w:qFormat/>
    <w:uiPriority w:val="0"/>
    <w:rPr>
      <w:rFonts w:eastAsia="仿宋_GB2312"/>
      <w:kern w:val="2"/>
      <w:sz w:val="21"/>
      <w:szCs w:val="24"/>
      <w:shd w:val="pct20" w:color="auto" w:fill="auto"/>
    </w:rPr>
  </w:style>
  <w:style w:type="character" w:customStyle="1" w:styleId="274">
    <w:name w:val="A4 Char"/>
    <w:link w:val="275"/>
    <w:autoRedefine/>
    <w:qFormat/>
    <w:uiPriority w:val="0"/>
    <w:rPr>
      <w:rFonts w:ascii="Cambria" w:hAnsi="Cambria" w:cs="新宋体"/>
      <w:b/>
      <w:bCs/>
      <w:sz w:val="28"/>
      <w:szCs w:val="28"/>
    </w:rPr>
  </w:style>
  <w:style w:type="paragraph" w:customStyle="1" w:styleId="275">
    <w:name w:val="A4"/>
    <w:basedOn w:val="6"/>
    <w:link w:val="274"/>
    <w:autoRedefine/>
    <w:qFormat/>
    <w:uiPriority w:val="0"/>
    <w:pPr>
      <w:spacing w:line="377" w:lineRule="auto"/>
      <w:jc w:val="left"/>
    </w:pPr>
    <w:rPr>
      <w:rFonts w:cs="新宋体"/>
      <w:kern w:val="0"/>
    </w:rPr>
  </w:style>
  <w:style w:type="character" w:customStyle="1" w:styleId="276">
    <w:name w:val="Char Char61"/>
    <w:autoRedefine/>
    <w:qFormat/>
    <w:uiPriority w:val="0"/>
    <w:rPr>
      <w:rFonts w:ascii="新宋体" w:hAnsi="新宋体" w:eastAsia="仿宋_GB2312" w:cs="新宋体"/>
      <w:szCs w:val="24"/>
    </w:rPr>
  </w:style>
  <w:style w:type="character" w:customStyle="1" w:styleId="277">
    <w:name w:val="符号正文缩进 Char Char"/>
    <w:link w:val="278"/>
    <w:autoRedefine/>
    <w:qFormat/>
    <w:uiPriority w:val="0"/>
    <w:rPr>
      <w:kern w:val="2"/>
      <w:sz w:val="24"/>
      <w:szCs w:val="24"/>
    </w:rPr>
  </w:style>
  <w:style w:type="paragraph" w:customStyle="1" w:styleId="278">
    <w:name w:val="符号正文缩进"/>
    <w:basedOn w:val="15"/>
    <w:link w:val="277"/>
    <w:autoRedefine/>
    <w:qFormat/>
    <w:uiPriority w:val="0"/>
    <w:pPr>
      <w:tabs>
        <w:tab w:val="left" w:pos="1497"/>
      </w:tabs>
      <w:spacing w:line="400" w:lineRule="atLeast"/>
      <w:ind w:left="567" w:firstLine="510"/>
    </w:pPr>
    <w:rPr>
      <w:kern w:val="2"/>
      <w:sz w:val="24"/>
      <w:szCs w:val="24"/>
    </w:rPr>
  </w:style>
  <w:style w:type="character" w:customStyle="1" w:styleId="279">
    <w:name w:val="Char Char11"/>
    <w:autoRedefine/>
    <w:qFormat/>
    <w:uiPriority w:val="0"/>
    <w:rPr>
      <w:rFonts w:ascii="新宋体" w:hAnsi="新宋体" w:eastAsia="仿宋_GB2312" w:cs="新宋体"/>
      <w:sz w:val="18"/>
      <w:szCs w:val="18"/>
    </w:rPr>
  </w:style>
  <w:style w:type="character" w:customStyle="1" w:styleId="280">
    <w:name w:val="heading 1 Char2"/>
    <w:autoRedefine/>
    <w:qFormat/>
    <w:uiPriority w:val="0"/>
    <w:rPr>
      <w:b/>
      <w:bCs/>
      <w:kern w:val="44"/>
      <w:sz w:val="44"/>
      <w:szCs w:val="44"/>
    </w:rPr>
  </w:style>
  <w:style w:type="character" w:customStyle="1" w:styleId="281">
    <w:name w:val="Char Char13"/>
    <w:basedOn w:val="65"/>
    <w:autoRedefine/>
    <w:qFormat/>
    <w:uiPriority w:val="0"/>
    <w:rPr>
      <w:rFonts w:ascii="Times New Roman" w:hAnsi="Times New Roman" w:eastAsia="宋体" w:cs="Times New Roman"/>
      <w:b/>
      <w:bCs/>
      <w:color w:val="auto"/>
      <w:kern w:val="2"/>
      <w:szCs w:val="20"/>
    </w:rPr>
  </w:style>
  <w:style w:type="character" w:customStyle="1" w:styleId="282">
    <w:name w:val="heading 7 Char1"/>
    <w:autoRedefine/>
    <w:qFormat/>
    <w:uiPriority w:val="0"/>
    <w:rPr>
      <w:rFonts w:ascii="Tahoma" w:hAnsi="Tahoma" w:eastAsia="Helvetica"/>
      <w:sz w:val="21"/>
      <w:szCs w:val="21"/>
      <w:lang w:val="en-US" w:eastAsia="zh-CN" w:bidi="ar-SA"/>
    </w:rPr>
  </w:style>
  <w:style w:type="character" w:customStyle="1" w:styleId="283">
    <w:name w:val="Style2"/>
    <w:autoRedefine/>
    <w:qFormat/>
    <w:uiPriority w:val="0"/>
    <w:rPr>
      <w:rFonts w:ascii="Century Gothic" w:hAnsi="仿宋_GB2312" w:eastAsia="仿宋_GB2312" w:cs="新宋体"/>
      <w:sz w:val="22"/>
      <w:szCs w:val="22"/>
      <w:lang w:eastAsia="zh-CN"/>
    </w:rPr>
  </w:style>
  <w:style w:type="character" w:customStyle="1" w:styleId="284">
    <w:name w:val="blue1"/>
    <w:basedOn w:val="65"/>
    <w:autoRedefine/>
    <w:qFormat/>
    <w:uiPriority w:val="0"/>
  </w:style>
  <w:style w:type="character" w:customStyle="1" w:styleId="285">
    <w:name w:val="style111"/>
    <w:autoRedefine/>
    <w:qFormat/>
    <w:uiPriority w:val="0"/>
    <w:rPr>
      <w:sz w:val="27"/>
      <w:szCs w:val="27"/>
    </w:rPr>
  </w:style>
  <w:style w:type="character" w:customStyle="1" w:styleId="286">
    <w:name w:val="emailstyle15"/>
    <w:autoRedefine/>
    <w:qFormat/>
    <w:uiPriority w:val="0"/>
    <w:rPr>
      <w:rFonts w:ascii="Arial" w:hAnsi="Arial" w:eastAsia="宋体" w:cs="Arial"/>
      <w:color w:val="auto"/>
      <w:kern w:val="2"/>
      <w:sz w:val="20"/>
      <w:szCs w:val="24"/>
      <w:lang w:val="en-US" w:eastAsia="zh-CN" w:bidi="ar-SA"/>
    </w:rPr>
  </w:style>
  <w:style w:type="character" w:customStyle="1" w:styleId="287">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8">
    <w:name w:val="font01"/>
    <w:basedOn w:val="65"/>
    <w:autoRedefine/>
    <w:qFormat/>
    <w:uiPriority w:val="0"/>
    <w:rPr>
      <w:rFonts w:hint="eastAsia" w:ascii="宋体" w:hAnsi="宋体" w:eastAsia="宋体" w:cs="宋体"/>
      <w:color w:val="000000"/>
      <w:sz w:val="18"/>
      <w:szCs w:val="18"/>
      <w:u w:val="none"/>
      <w:vertAlign w:val="superscript"/>
    </w:rPr>
  </w:style>
  <w:style w:type="character" w:customStyle="1" w:styleId="289">
    <w:name w:val="Char Char21"/>
    <w:autoRedefine/>
    <w:qFormat/>
    <w:uiPriority w:val="0"/>
    <w:rPr>
      <w:rFonts w:ascii="新宋体" w:hAnsi="新宋体" w:eastAsia="仿宋_GB2312" w:cs="新宋体"/>
      <w:b/>
      <w:bCs/>
      <w:kern w:val="44"/>
      <w:sz w:val="44"/>
      <w:szCs w:val="44"/>
    </w:rPr>
  </w:style>
  <w:style w:type="character" w:customStyle="1" w:styleId="290">
    <w:name w:val="Char Char24"/>
    <w:autoRedefine/>
    <w:qFormat/>
    <w:uiPriority w:val="0"/>
    <w:rPr>
      <w:rFonts w:ascii="Verdana" w:hAnsi="Verdana" w:eastAsia="仿宋_GB2312"/>
      <w:b/>
      <w:bCs/>
      <w:kern w:val="2"/>
      <w:sz w:val="32"/>
      <w:szCs w:val="32"/>
      <w:lang w:val="en-US" w:eastAsia="zh-CN" w:bidi="ar-SA"/>
    </w:rPr>
  </w:style>
  <w:style w:type="character" w:customStyle="1" w:styleId="291">
    <w:name w:val="Char Char181"/>
    <w:autoRedefine/>
    <w:qFormat/>
    <w:uiPriority w:val="0"/>
    <w:rPr>
      <w:rFonts w:ascii="Tahoma" w:hAnsi="Tahoma" w:eastAsia="Helvetica"/>
      <w:sz w:val="24"/>
      <w:lang w:val="en-US" w:eastAsia="zh-CN" w:bidi="ar-SA"/>
    </w:rPr>
  </w:style>
  <w:style w:type="character" w:customStyle="1" w:styleId="292">
    <w:name w:val="heading 5 Char"/>
    <w:autoRedefine/>
    <w:qFormat/>
    <w:uiPriority w:val="0"/>
    <w:rPr>
      <w:rFonts w:ascii="Tahoma" w:hAnsi="Tahoma" w:eastAsia="Helvetica"/>
      <w:sz w:val="21"/>
      <w:szCs w:val="21"/>
    </w:rPr>
  </w:style>
  <w:style w:type="character" w:customStyle="1" w:styleId="293">
    <w:name w:val="heading 3 Char2"/>
    <w:autoRedefine/>
    <w:qFormat/>
    <w:uiPriority w:val="0"/>
    <w:rPr>
      <w:b/>
      <w:bCs/>
      <w:kern w:val="2"/>
      <w:sz w:val="32"/>
      <w:szCs w:val="32"/>
    </w:rPr>
  </w:style>
  <w:style w:type="character" w:customStyle="1" w:styleId="294">
    <w:name w:val="列出段落 Char1"/>
    <w:autoRedefine/>
    <w:qFormat/>
    <w:uiPriority w:val="0"/>
    <w:rPr>
      <w:kern w:val="2"/>
      <w:sz w:val="21"/>
      <w:szCs w:val="24"/>
    </w:rPr>
  </w:style>
  <w:style w:type="character" w:customStyle="1" w:styleId="295">
    <w:name w:val="Footer-Even Char2"/>
    <w:autoRedefine/>
    <w:qFormat/>
    <w:uiPriority w:val="0"/>
    <w:rPr>
      <w:kern w:val="2"/>
      <w:sz w:val="18"/>
      <w:szCs w:val="18"/>
    </w:rPr>
  </w:style>
  <w:style w:type="character" w:customStyle="1" w:styleId="296">
    <w:name w:val="heading 1 Char1"/>
    <w:autoRedefine/>
    <w:qFormat/>
    <w:uiPriority w:val="0"/>
    <w:rPr>
      <w:rFonts w:eastAsia="仿宋_GB2312"/>
      <w:b/>
      <w:bCs/>
      <w:kern w:val="44"/>
      <w:sz w:val="44"/>
      <w:szCs w:val="44"/>
      <w:lang w:val="en-US" w:eastAsia="zh-CN" w:bidi="ar-SA"/>
    </w:rPr>
  </w:style>
  <w:style w:type="character" w:customStyle="1" w:styleId="297">
    <w:name w:val="kpk:正文 Char"/>
    <w:link w:val="298"/>
    <w:autoRedefine/>
    <w:qFormat/>
    <w:uiPriority w:val="0"/>
    <w:rPr>
      <w:rFonts w:ascii="宋体" w:hAnsi="宋体"/>
      <w:kern w:val="2"/>
      <w:sz w:val="24"/>
      <w:szCs w:val="24"/>
      <w:lang w:val="en-GB"/>
    </w:rPr>
  </w:style>
  <w:style w:type="paragraph" w:customStyle="1" w:styleId="298">
    <w:name w:val="kpk:正文"/>
    <w:basedOn w:val="1"/>
    <w:link w:val="297"/>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autoRedefine/>
    <w:qFormat/>
    <w:uiPriority w:val="0"/>
    <w:rPr>
      <w:kern w:val="2"/>
      <w:sz w:val="21"/>
      <w:szCs w:val="22"/>
    </w:rPr>
  </w:style>
  <w:style w:type="paragraph" w:customStyle="1" w:styleId="300">
    <w:name w:val="彩色列表 - 强调文字颜色 11"/>
    <w:basedOn w:val="1"/>
    <w:link w:val="299"/>
    <w:autoRedefine/>
    <w:qFormat/>
    <w:uiPriority w:val="0"/>
    <w:pPr>
      <w:ind w:firstLine="420" w:firstLineChars="200"/>
    </w:pPr>
    <w:rPr>
      <w:szCs w:val="22"/>
    </w:rPr>
  </w:style>
  <w:style w:type="character" w:customStyle="1" w:styleId="301">
    <w:name w:val="A3 Char"/>
    <w:link w:val="302"/>
    <w:autoRedefine/>
    <w:qFormat/>
    <w:uiPriority w:val="0"/>
    <w:rPr>
      <w:b/>
      <w:bCs/>
      <w:sz w:val="32"/>
      <w:szCs w:val="32"/>
    </w:rPr>
  </w:style>
  <w:style w:type="paragraph" w:customStyle="1" w:styleId="302">
    <w:name w:val="A3"/>
    <w:basedOn w:val="5"/>
    <w:link w:val="301"/>
    <w:autoRedefine/>
    <w:qFormat/>
    <w:uiPriority w:val="0"/>
    <w:pPr>
      <w:spacing w:before="0" w:after="0" w:line="415" w:lineRule="auto"/>
      <w:ind w:left="720" w:hanging="720"/>
      <w:jc w:val="left"/>
    </w:pPr>
    <w:rPr>
      <w:kern w:val="0"/>
    </w:rPr>
  </w:style>
  <w:style w:type="character" w:customStyle="1" w:styleId="303">
    <w:name w:val="批注框文本 字符"/>
    <w:autoRedefine/>
    <w:qFormat/>
    <w:uiPriority w:val="0"/>
    <w:rPr>
      <w:sz w:val="18"/>
      <w:szCs w:val="18"/>
    </w:rPr>
  </w:style>
  <w:style w:type="character" w:customStyle="1" w:styleId="304">
    <w:name w:val="正文文本缩进 2 Char"/>
    <w:link w:val="39"/>
    <w:autoRedefine/>
    <w:qFormat/>
    <w:uiPriority w:val="0"/>
    <w:rPr>
      <w:kern w:val="2"/>
      <w:sz w:val="24"/>
      <w:szCs w:val="24"/>
    </w:rPr>
  </w:style>
  <w:style w:type="character" w:customStyle="1" w:styleId="305">
    <w:name w:val="Table Text Char"/>
    <w:link w:val="306"/>
    <w:autoRedefine/>
    <w:qFormat/>
    <w:uiPriority w:val="0"/>
    <w:rPr>
      <w:rFonts w:eastAsia="仿宋_GB2312"/>
      <w:sz w:val="24"/>
    </w:rPr>
  </w:style>
  <w:style w:type="paragraph" w:customStyle="1" w:styleId="306">
    <w:name w:val="Table Text"/>
    <w:basedOn w:val="1"/>
    <w:link w:val="305"/>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autoRedefine/>
    <w:qFormat/>
    <w:uiPriority w:val="0"/>
    <w:rPr>
      <w:rFonts w:ascii="Arial" w:hAnsi="Arial"/>
      <w:kern w:val="2"/>
      <w:sz w:val="24"/>
      <w:szCs w:val="21"/>
      <w:lang w:bidi="ar-SA"/>
    </w:rPr>
  </w:style>
  <w:style w:type="character" w:customStyle="1" w:styleId="308">
    <w:name w:val="BZ_四级标题 Char"/>
    <w:link w:val="160"/>
    <w:autoRedefine/>
    <w:qFormat/>
    <w:uiPriority w:val="0"/>
    <w:rPr>
      <w:rFonts w:eastAsia="黑体"/>
      <w:bCs/>
      <w:kern w:val="2"/>
      <w:sz w:val="24"/>
      <w:szCs w:val="28"/>
    </w:rPr>
  </w:style>
  <w:style w:type="character" w:customStyle="1" w:styleId="309">
    <w:name w:val="Char Char17"/>
    <w:autoRedefine/>
    <w:qFormat/>
    <w:uiPriority w:val="0"/>
    <w:rPr>
      <w:rFonts w:ascii="Tahoma" w:hAnsi="Tahoma" w:eastAsia="Helvetica"/>
      <w:sz w:val="21"/>
      <w:lang w:val="en-US" w:eastAsia="zh-CN" w:bidi="ar-SA"/>
    </w:rPr>
  </w:style>
  <w:style w:type="character" w:customStyle="1" w:styleId="310">
    <w:name w:val="heading 2 Char2"/>
    <w:autoRedefine/>
    <w:qFormat/>
    <w:uiPriority w:val="0"/>
    <w:rPr>
      <w:rFonts w:ascii="Verdana" w:hAnsi="Verdana"/>
      <w:b/>
      <w:bCs/>
      <w:kern w:val="2"/>
      <w:sz w:val="32"/>
      <w:szCs w:val="32"/>
    </w:rPr>
  </w:style>
  <w:style w:type="character" w:customStyle="1" w:styleId="311">
    <w:name w:val="正文缩进字符"/>
    <w:link w:val="312"/>
    <w:autoRedefine/>
    <w:qFormat/>
    <w:uiPriority w:val="0"/>
    <w:rPr>
      <w:rFonts w:ascii="宋体"/>
      <w:sz w:val="24"/>
    </w:rPr>
  </w:style>
  <w:style w:type="paragraph" w:customStyle="1" w:styleId="312">
    <w:name w:val="正文缩进2"/>
    <w:basedOn w:val="1"/>
    <w:link w:val="311"/>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autoRedefine/>
    <w:qFormat/>
    <w:uiPriority w:val="0"/>
    <w:rPr>
      <w:rFonts w:ascii="Calibri" w:hAnsi="Calibri"/>
      <w:sz w:val="24"/>
      <w:szCs w:val="24"/>
    </w:rPr>
  </w:style>
  <w:style w:type="paragraph" w:customStyle="1" w:styleId="314">
    <w:name w:val="1Text"/>
    <w:basedOn w:val="1"/>
    <w:link w:val="313"/>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autoRedefine/>
    <w:qFormat/>
    <w:uiPriority w:val="99"/>
    <w:rPr>
      <w:rFonts w:ascii="宋体"/>
      <w:sz w:val="18"/>
      <w:szCs w:val="18"/>
    </w:rPr>
  </w:style>
  <w:style w:type="character" w:customStyle="1" w:styleId="316">
    <w:name w:val="heading 8 Char1"/>
    <w:autoRedefine/>
    <w:qFormat/>
    <w:uiPriority w:val="0"/>
    <w:rPr>
      <w:rFonts w:ascii="Tahoma" w:hAnsi="Tahoma" w:eastAsia="Helvetica"/>
      <w:sz w:val="24"/>
      <w:lang w:val="en-US" w:eastAsia="zh-CN" w:bidi="ar-SA"/>
    </w:rPr>
  </w:style>
  <w:style w:type="character" w:customStyle="1" w:styleId="317">
    <w:name w:val="Char Char171"/>
    <w:autoRedefine/>
    <w:qFormat/>
    <w:uiPriority w:val="0"/>
    <w:rPr>
      <w:rFonts w:ascii="Verdana" w:hAnsi="Verdana"/>
      <w:b/>
      <w:bCs/>
      <w:kern w:val="2"/>
      <w:sz w:val="28"/>
      <w:szCs w:val="28"/>
    </w:rPr>
  </w:style>
  <w:style w:type="character" w:customStyle="1" w:styleId="318">
    <w:name w:val="副标题 Char"/>
    <w:autoRedefine/>
    <w:qFormat/>
    <w:uiPriority w:val="0"/>
    <w:rPr>
      <w:rFonts w:ascii="Verdana" w:hAnsi="Verdana" w:eastAsia="仿宋_GB2312"/>
      <w:b/>
      <w:bCs/>
      <w:kern w:val="28"/>
      <w:sz w:val="32"/>
      <w:szCs w:val="32"/>
    </w:rPr>
  </w:style>
  <w:style w:type="character" w:customStyle="1" w:styleId="319">
    <w:name w:val="内容文本 Char"/>
    <w:link w:val="320"/>
    <w:autoRedefine/>
    <w:qFormat/>
    <w:uiPriority w:val="0"/>
    <w:rPr>
      <w:rFonts w:ascii="宋体" w:hAnsi="宋体"/>
      <w:sz w:val="24"/>
      <w:szCs w:val="24"/>
      <w:lang w:eastAsia="en-US" w:bidi="en-US"/>
    </w:rPr>
  </w:style>
  <w:style w:type="paragraph" w:customStyle="1" w:styleId="320">
    <w:name w:val="内容文本"/>
    <w:basedOn w:val="300"/>
    <w:link w:val="319"/>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autoRedefine/>
    <w:qFormat/>
    <w:uiPriority w:val="0"/>
    <w:rPr>
      <w:rFonts w:ascii="Century Gothic" w:hAnsi="Century Gothic" w:eastAsia="仿宋_GB2312"/>
      <w:b/>
      <w:bCs/>
      <w:i/>
      <w:iCs/>
      <w:color w:val="4F81BD"/>
    </w:rPr>
  </w:style>
  <w:style w:type="paragraph" w:styleId="322">
    <w:name w:val="Intense Quote"/>
    <w:basedOn w:val="1"/>
    <w:next w:val="1"/>
    <w:link w:val="593"/>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autoRedefine/>
    <w:qFormat/>
    <w:uiPriority w:val="0"/>
    <w:rPr>
      <w:rFonts w:ascii="Century Gothic" w:hAnsi="仿宋_GB2312" w:eastAsia="仿宋_GB2312" w:cs="新宋体"/>
      <w:sz w:val="22"/>
      <w:szCs w:val="22"/>
      <w:lang w:eastAsia="zh-CN"/>
    </w:rPr>
  </w:style>
  <w:style w:type="character" w:customStyle="1" w:styleId="324">
    <w:name w:val="HTML 预设格式 Char"/>
    <w:autoRedefine/>
    <w:qFormat/>
    <w:uiPriority w:val="0"/>
    <w:rPr>
      <w:rFonts w:ascii="黑体" w:hAnsi="Courier New" w:eastAsia="黑体"/>
    </w:rPr>
  </w:style>
  <w:style w:type="character" w:customStyle="1" w:styleId="325">
    <w:name w:val="BZ_图 Char"/>
    <w:link w:val="326"/>
    <w:autoRedefine/>
    <w:qFormat/>
    <w:uiPriority w:val="0"/>
    <w:rPr>
      <w:kern w:val="2"/>
      <w:sz w:val="21"/>
      <w:szCs w:val="24"/>
    </w:rPr>
  </w:style>
  <w:style w:type="paragraph" w:customStyle="1" w:styleId="326">
    <w:name w:val="BZ_图"/>
    <w:basedOn w:val="1"/>
    <w:next w:val="1"/>
    <w:link w:val="325"/>
    <w:autoRedefine/>
    <w:qFormat/>
    <w:uiPriority w:val="0"/>
    <w:pPr>
      <w:keepNext/>
      <w:widowControl/>
      <w:spacing w:beforeLines="50" w:afterLines="50"/>
      <w:jc w:val="center"/>
    </w:pPr>
  </w:style>
  <w:style w:type="character" w:customStyle="1" w:styleId="327">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8">
    <w:name w:val="标题 3 字符"/>
    <w:autoRedefine/>
    <w:qFormat/>
    <w:uiPriority w:val="0"/>
    <w:rPr>
      <w:rFonts w:eastAsia="黑体"/>
      <w:b/>
      <w:sz w:val="28"/>
    </w:rPr>
  </w:style>
  <w:style w:type="character" w:customStyle="1" w:styleId="329">
    <w:name w:val="dandyren_title1"/>
    <w:autoRedefine/>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autoRedefine/>
    <w:qFormat/>
    <w:uiPriority w:val="0"/>
    <w:rPr>
      <w:rFonts w:cs="宋体"/>
      <w:szCs w:val="28"/>
    </w:rPr>
  </w:style>
  <w:style w:type="paragraph" w:customStyle="1" w:styleId="331">
    <w:name w:val="样式 正文缩进首行缩进两字正文（首行缩进两字） Char正文（首行缩进两字） Char Char Char正文（首行缩进..."/>
    <w:basedOn w:val="15"/>
    <w:link w:val="330"/>
    <w:autoRedefine/>
    <w:qFormat/>
    <w:uiPriority w:val="0"/>
    <w:pPr>
      <w:autoSpaceDE w:val="0"/>
      <w:autoSpaceDN w:val="0"/>
      <w:spacing w:line="240" w:lineRule="auto"/>
      <w:ind w:firstLine="567"/>
    </w:pPr>
    <w:rPr>
      <w:rFonts w:cs="宋体"/>
      <w:sz w:val="20"/>
      <w:szCs w:val="28"/>
    </w:rPr>
  </w:style>
  <w:style w:type="character" w:customStyle="1" w:styleId="332">
    <w:name w:val="1Text Char Char"/>
    <w:autoRedefine/>
    <w:qFormat/>
    <w:uiPriority w:val="0"/>
    <w:rPr>
      <w:rFonts w:ascii="Calibri" w:hAnsi="Calibri" w:eastAsia="宋体"/>
      <w:sz w:val="24"/>
      <w:szCs w:val="24"/>
      <w:lang w:bidi="ar-SA"/>
    </w:rPr>
  </w:style>
  <w:style w:type="character" w:customStyle="1" w:styleId="333">
    <w:name w:val="Char Char211"/>
    <w:autoRedefine/>
    <w:qFormat/>
    <w:uiPriority w:val="0"/>
    <w:rPr>
      <w:rFonts w:ascii="新宋体" w:hAnsi="新宋体" w:eastAsia="仿宋_GB2312" w:cs="新宋体"/>
      <w:b/>
      <w:bCs/>
      <w:kern w:val="44"/>
      <w:sz w:val="44"/>
      <w:szCs w:val="44"/>
    </w:rPr>
  </w:style>
  <w:style w:type="character" w:customStyle="1" w:styleId="334">
    <w:name w:val="强调划线"/>
    <w:autoRedefine/>
    <w:qFormat/>
    <w:uiPriority w:val="0"/>
    <w:rPr>
      <w:u w:val="single"/>
    </w:rPr>
  </w:style>
  <w:style w:type="character" w:customStyle="1" w:styleId="335">
    <w:name w:val="backtitle1"/>
    <w:autoRedefine/>
    <w:qFormat/>
    <w:uiPriority w:val="0"/>
    <w:rPr>
      <w:rFonts w:eastAsia="宋体"/>
      <w:b/>
      <w:bCs/>
      <w:color w:val="000000"/>
      <w:kern w:val="2"/>
      <w:sz w:val="18"/>
      <w:szCs w:val="18"/>
      <w:lang w:val="en-US" w:eastAsia="zh-CN" w:bidi="ar-SA"/>
    </w:rPr>
  </w:style>
  <w:style w:type="character" w:customStyle="1" w:styleId="336">
    <w:name w:val="哈哈正文 Char Char"/>
    <w:autoRedefine/>
    <w:qFormat/>
    <w:uiPriority w:val="0"/>
    <w:rPr>
      <w:rFonts w:ascii="宋体" w:hAnsi="宋体"/>
      <w:kern w:val="2"/>
      <w:sz w:val="24"/>
      <w:lang w:bidi="ar-SA"/>
    </w:rPr>
  </w:style>
  <w:style w:type="character" w:customStyle="1" w:styleId="337">
    <w:name w:val="正文首行缩进 2 Char"/>
    <w:autoRedefine/>
    <w:qFormat/>
    <w:uiPriority w:val="0"/>
    <w:rPr>
      <w:kern w:val="2"/>
      <w:sz w:val="21"/>
      <w:szCs w:val="24"/>
    </w:rPr>
  </w:style>
  <w:style w:type="character" w:customStyle="1" w:styleId="338">
    <w:name w:val="注释题目"/>
    <w:autoRedefine/>
    <w:qFormat/>
    <w:uiPriority w:val="0"/>
    <w:rPr>
      <w:rFonts w:eastAsia="黑体"/>
      <w:sz w:val="28"/>
      <w:u w:val="none"/>
    </w:rPr>
  </w:style>
  <w:style w:type="character" w:customStyle="1" w:styleId="339">
    <w:name w:val="三级标题 Char"/>
    <w:link w:val="340"/>
    <w:autoRedefine/>
    <w:qFormat/>
    <w:uiPriority w:val="0"/>
    <w:rPr>
      <w:rFonts w:eastAsia="黑体"/>
      <w:b/>
      <w:kern w:val="2"/>
      <w:sz w:val="28"/>
      <w:szCs w:val="22"/>
    </w:rPr>
  </w:style>
  <w:style w:type="paragraph" w:customStyle="1" w:styleId="340">
    <w:name w:val="三级标题"/>
    <w:basedOn w:val="1"/>
    <w:link w:val="339"/>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autoRedefine/>
    <w:qFormat/>
    <w:uiPriority w:val="0"/>
    <w:rPr>
      <w:rFonts w:ascii="仿宋_GB2312" w:hAnsi="仿宋_GB2312" w:eastAsia="仿宋_GB2312"/>
      <w:sz w:val="24"/>
      <w:szCs w:val="24"/>
    </w:rPr>
  </w:style>
  <w:style w:type="character" w:customStyle="1" w:styleId="342">
    <w:name w:val="heading 1 Char"/>
    <w:autoRedefine/>
    <w:qFormat/>
    <w:uiPriority w:val="0"/>
    <w:rPr>
      <w:rFonts w:ascii="Tahoma" w:hAnsi="Tahoma" w:eastAsia="Helvetica"/>
      <w:b/>
      <w:sz w:val="36"/>
      <w:szCs w:val="36"/>
    </w:rPr>
  </w:style>
  <w:style w:type="character" w:customStyle="1" w:styleId="343">
    <w:name w:val="栏目标题 Char Char"/>
    <w:link w:val="344"/>
    <w:autoRedefine/>
    <w:qFormat/>
    <w:uiPriority w:val="0"/>
    <w:rPr>
      <w:rFonts w:ascii="黑体" w:hAnsi="黑体" w:eastAsia="黑体"/>
      <w:b/>
      <w:kern w:val="2"/>
      <w:sz w:val="21"/>
      <w:szCs w:val="24"/>
    </w:rPr>
  </w:style>
  <w:style w:type="paragraph" w:customStyle="1" w:styleId="344">
    <w:name w:val="栏目标题"/>
    <w:basedOn w:val="1"/>
    <w:link w:val="343"/>
    <w:autoRedefine/>
    <w:qFormat/>
    <w:uiPriority w:val="0"/>
    <w:pPr>
      <w:jc w:val="center"/>
    </w:pPr>
    <w:rPr>
      <w:rFonts w:ascii="黑体" w:hAnsi="黑体" w:eastAsia="黑体"/>
      <w:b/>
    </w:rPr>
  </w:style>
  <w:style w:type="character" w:customStyle="1" w:styleId="345">
    <w:name w:val="纯文本 字符"/>
    <w:autoRedefine/>
    <w:qFormat/>
    <w:uiPriority w:val="0"/>
    <w:rPr>
      <w:rFonts w:ascii="宋体" w:hAnsi="Courier New"/>
      <w:kern w:val="2"/>
      <w:sz w:val="21"/>
    </w:rPr>
  </w:style>
  <w:style w:type="character" w:customStyle="1" w:styleId="346">
    <w:name w:val="!我的正文 Ctr+Q Char"/>
    <w:link w:val="347"/>
    <w:autoRedefine/>
    <w:qFormat/>
    <w:uiPriority w:val="0"/>
    <w:rPr>
      <w:rFonts w:ascii="Arial" w:hAnsi="Arial"/>
      <w:kern w:val="2"/>
      <w:sz w:val="24"/>
      <w:szCs w:val="21"/>
    </w:rPr>
  </w:style>
  <w:style w:type="paragraph" w:customStyle="1" w:styleId="347">
    <w:name w:val="!我的正文 Ctr+Q"/>
    <w:basedOn w:val="1"/>
    <w:link w:val="346"/>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autoRedefine/>
    <w:qFormat/>
    <w:uiPriority w:val="0"/>
    <w:rPr>
      <w:rFonts w:ascii="Arial" w:hAnsi="Arial" w:eastAsia="黑体"/>
      <w:kern w:val="2"/>
      <w:sz w:val="21"/>
      <w:vertAlign w:val="superscript"/>
    </w:rPr>
  </w:style>
  <w:style w:type="character" w:customStyle="1" w:styleId="349">
    <w:name w:val="Char Char12"/>
    <w:autoRedefine/>
    <w:qFormat/>
    <w:uiPriority w:val="0"/>
    <w:rPr>
      <w:rFonts w:ascii="仿宋_GB2312" w:hAnsi="Wingdings" w:eastAsia="仿宋_GB2312"/>
      <w:sz w:val="21"/>
      <w:szCs w:val="21"/>
      <w:lang w:val="en-US" w:eastAsia="zh-CN" w:bidi="ar-SA"/>
    </w:rPr>
  </w:style>
  <w:style w:type="character" w:customStyle="1" w:styleId="350">
    <w:name w:val="Char Char221"/>
    <w:autoRedefine/>
    <w:qFormat/>
    <w:uiPriority w:val="0"/>
    <w:rPr>
      <w:rFonts w:ascii="Verdana" w:hAnsi="Verdana" w:eastAsia="仿宋_GB2312"/>
      <w:b/>
      <w:bCs/>
      <w:kern w:val="2"/>
      <w:sz w:val="28"/>
      <w:szCs w:val="28"/>
      <w:lang w:val="en-US" w:eastAsia="zh-CN" w:bidi="ar-SA"/>
    </w:rPr>
  </w:style>
  <w:style w:type="character" w:customStyle="1" w:styleId="351">
    <w:name w:val="Footer-Even Char1"/>
    <w:autoRedefine/>
    <w:qFormat/>
    <w:uiPriority w:val="0"/>
    <w:rPr>
      <w:rFonts w:eastAsia="仿宋_GB2312"/>
      <w:kern w:val="2"/>
      <w:sz w:val="18"/>
      <w:szCs w:val="18"/>
      <w:lang w:val="en-US" w:eastAsia="zh-CN" w:bidi="ar-SA"/>
    </w:rPr>
  </w:style>
  <w:style w:type="character" w:customStyle="1" w:styleId="352">
    <w:name w:val="xl77 Char"/>
    <w:link w:val="353"/>
    <w:autoRedefine/>
    <w:qFormat/>
    <w:uiPriority w:val="0"/>
    <w:rPr>
      <w:b/>
      <w:bCs/>
      <w:sz w:val="28"/>
      <w:szCs w:val="28"/>
    </w:rPr>
  </w:style>
  <w:style w:type="paragraph" w:customStyle="1" w:styleId="353">
    <w:name w:val="xl77"/>
    <w:basedOn w:val="1"/>
    <w:link w:val="3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autoRedefine/>
    <w:qFormat/>
    <w:uiPriority w:val="0"/>
    <w:rPr>
      <w:kern w:val="2"/>
      <w:sz w:val="16"/>
      <w:szCs w:val="16"/>
    </w:rPr>
  </w:style>
  <w:style w:type="character" w:customStyle="1" w:styleId="355">
    <w:name w:val="Subtle Emphasis1"/>
    <w:autoRedefine/>
    <w:qFormat/>
    <w:uiPriority w:val="0"/>
    <w:rPr>
      <w:i/>
      <w:iCs/>
      <w:color w:val="808080"/>
    </w:rPr>
  </w:style>
  <w:style w:type="character" w:customStyle="1" w:styleId="356">
    <w:name w:val="Book Title1"/>
    <w:autoRedefine/>
    <w:qFormat/>
    <w:uiPriority w:val="0"/>
    <w:rPr>
      <w:b/>
      <w:bCs/>
      <w:smallCaps/>
      <w:spacing w:val="5"/>
    </w:rPr>
  </w:style>
  <w:style w:type="character" w:customStyle="1" w:styleId="357">
    <w:name w:val="目录标题 Char Char"/>
    <w:link w:val="358"/>
    <w:autoRedefine/>
    <w:qFormat/>
    <w:uiPriority w:val="0"/>
    <w:rPr>
      <w:rFonts w:eastAsia="黑体"/>
      <w:b/>
      <w:bCs/>
      <w:kern w:val="2"/>
      <w:sz w:val="44"/>
      <w:szCs w:val="44"/>
    </w:rPr>
  </w:style>
  <w:style w:type="paragraph" w:customStyle="1" w:styleId="358">
    <w:name w:val="目录标题"/>
    <w:basedOn w:val="1"/>
    <w:link w:val="357"/>
    <w:autoRedefine/>
    <w:qFormat/>
    <w:uiPriority w:val="0"/>
    <w:pPr>
      <w:jc w:val="center"/>
    </w:pPr>
    <w:rPr>
      <w:rFonts w:eastAsia="黑体"/>
      <w:b/>
      <w:bCs/>
      <w:sz w:val="44"/>
      <w:szCs w:val="44"/>
    </w:rPr>
  </w:style>
  <w:style w:type="character" w:customStyle="1" w:styleId="359">
    <w:name w:val="4 Char"/>
    <w:link w:val="360"/>
    <w:autoRedefine/>
    <w:qFormat/>
    <w:uiPriority w:val="0"/>
    <w:rPr>
      <w:rFonts w:ascii="仿宋" w:hAnsi="仿宋" w:eastAsia="仿宋"/>
      <w:b/>
      <w:bCs/>
      <w:kern w:val="2"/>
      <w:sz w:val="24"/>
      <w:szCs w:val="24"/>
    </w:rPr>
  </w:style>
  <w:style w:type="paragraph" w:customStyle="1" w:styleId="360">
    <w:name w:val="4"/>
    <w:basedOn w:val="6"/>
    <w:link w:val="359"/>
    <w:autoRedefine/>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autoRedefine/>
    <w:qFormat/>
    <w:uiPriority w:val="0"/>
    <w:rPr>
      <w:rFonts w:ascii="Calibri" w:hAnsi="Calibri" w:eastAsia="仿宋"/>
      <w:kern w:val="2"/>
      <w:sz w:val="24"/>
      <w:szCs w:val="22"/>
    </w:rPr>
  </w:style>
  <w:style w:type="paragraph" w:customStyle="1" w:styleId="362">
    <w:name w:val="文本正文"/>
    <w:basedOn w:val="1"/>
    <w:link w:val="361"/>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autoRedefine/>
    <w:qFormat/>
    <w:uiPriority w:val="0"/>
    <w:rPr>
      <w:rFonts w:eastAsia="宋体"/>
      <w:kern w:val="2"/>
      <w:sz w:val="21"/>
      <w:szCs w:val="24"/>
      <w:lang w:val="en-US" w:eastAsia="zh-CN" w:bidi="ar-SA"/>
    </w:rPr>
  </w:style>
  <w:style w:type="character" w:customStyle="1" w:styleId="364">
    <w:name w:val="五级标题 Char"/>
    <w:link w:val="365"/>
    <w:autoRedefine/>
    <w:qFormat/>
    <w:uiPriority w:val="0"/>
    <w:rPr>
      <w:rFonts w:eastAsia="黑体"/>
      <w:b/>
      <w:kern w:val="2"/>
      <w:sz w:val="28"/>
      <w:szCs w:val="22"/>
    </w:rPr>
  </w:style>
  <w:style w:type="paragraph" w:customStyle="1" w:styleId="365">
    <w:name w:val="五级标题"/>
    <w:basedOn w:val="1"/>
    <w:link w:val="364"/>
    <w:autoRedefine/>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autoRedefine/>
    <w:qFormat/>
    <w:uiPriority w:val="0"/>
    <w:rPr>
      <w:rFonts w:eastAsia="仿宋_GB2312"/>
      <w:lang w:val="en-US" w:eastAsia="zh-CN" w:bidi="ar-SA"/>
    </w:rPr>
  </w:style>
  <w:style w:type="character" w:customStyle="1" w:styleId="367">
    <w:name w:val="Char Char212"/>
    <w:autoRedefine/>
    <w:qFormat/>
    <w:uiPriority w:val="0"/>
    <w:rPr>
      <w:rFonts w:eastAsia="仿宋_GB2312"/>
      <w:b/>
      <w:bCs/>
      <w:kern w:val="2"/>
      <w:sz w:val="28"/>
      <w:szCs w:val="28"/>
      <w:lang w:val="en-US" w:eastAsia="zh-CN" w:bidi="ar-SA"/>
    </w:rPr>
  </w:style>
  <w:style w:type="character" w:customStyle="1" w:styleId="368">
    <w:name w:val="PI Char"/>
    <w:autoRedefine/>
    <w:qFormat/>
    <w:uiPriority w:val="0"/>
    <w:rPr>
      <w:rFonts w:ascii="仿宋_GB2312" w:hAnsi="仿宋_GB2312"/>
      <w:sz w:val="24"/>
    </w:rPr>
  </w:style>
  <w:style w:type="character" w:customStyle="1" w:styleId="369">
    <w:name w:val="表正文 Char2"/>
    <w:autoRedefine/>
    <w:qFormat/>
    <w:uiPriority w:val="0"/>
    <w:rPr>
      <w:rFonts w:ascii="新宋体" w:hAnsi="新宋体" w:eastAsia="仿宋_GB2312" w:cs="新宋体"/>
      <w:szCs w:val="24"/>
    </w:rPr>
  </w:style>
  <w:style w:type="character" w:customStyle="1" w:styleId="370">
    <w:name w:val="页眉 Char"/>
    <w:link w:val="44"/>
    <w:autoRedefine/>
    <w:qFormat/>
    <w:uiPriority w:val="99"/>
    <w:rPr>
      <w:kern w:val="2"/>
      <w:sz w:val="18"/>
      <w:szCs w:val="18"/>
    </w:rPr>
  </w:style>
  <w:style w:type="character" w:customStyle="1" w:styleId="371">
    <w:name w:val="大标题 Char"/>
    <w:autoRedefine/>
    <w:qFormat/>
    <w:uiPriority w:val="0"/>
    <w:rPr>
      <w:rFonts w:ascii="黑体" w:hAnsi="黑体" w:eastAsia="黑体"/>
      <w:b/>
      <w:bCs/>
      <w:kern w:val="2"/>
      <w:sz w:val="72"/>
      <w:szCs w:val="72"/>
    </w:rPr>
  </w:style>
  <w:style w:type="character" w:customStyle="1" w:styleId="372">
    <w:name w:val="Char Char Char1"/>
    <w:autoRedefine/>
    <w:qFormat/>
    <w:uiPriority w:val="0"/>
    <w:rPr>
      <w:rFonts w:ascii="仿宋_GB2312" w:hAnsi="Wingdings"/>
      <w:sz w:val="21"/>
      <w:szCs w:val="21"/>
    </w:rPr>
  </w:style>
  <w:style w:type="character" w:customStyle="1" w:styleId="373">
    <w:name w:val="Char Char15"/>
    <w:autoRedefine/>
    <w:qFormat/>
    <w:uiPriority w:val="0"/>
    <w:rPr>
      <w:rFonts w:ascii="Tahoma" w:hAnsi="Tahoma" w:eastAsia="Helvetica"/>
      <w:sz w:val="24"/>
      <w:szCs w:val="24"/>
    </w:rPr>
  </w:style>
  <w:style w:type="character" w:customStyle="1" w:styleId="374">
    <w:name w:val="表格标题 Char Char"/>
    <w:link w:val="375"/>
    <w:autoRedefine/>
    <w:qFormat/>
    <w:uiPriority w:val="0"/>
    <w:rPr>
      <w:rFonts w:ascii="黑体" w:hAnsi="黑体" w:eastAsia="黑体"/>
      <w:b/>
      <w:color w:val="FFFFFF"/>
      <w:kern w:val="2"/>
      <w:sz w:val="21"/>
      <w:szCs w:val="24"/>
    </w:rPr>
  </w:style>
  <w:style w:type="paragraph" w:customStyle="1" w:styleId="375">
    <w:name w:val="表格标题"/>
    <w:basedOn w:val="1"/>
    <w:link w:val="374"/>
    <w:autoRedefine/>
    <w:qFormat/>
    <w:uiPriority w:val="0"/>
    <w:rPr>
      <w:rFonts w:ascii="黑体" w:hAnsi="黑体" w:eastAsia="黑体"/>
      <w:b/>
      <w:color w:val="FFFFFF"/>
    </w:rPr>
  </w:style>
  <w:style w:type="character" w:customStyle="1" w:styleId="376">
    <w:name w:val="Intense Reference1"/>
    <w:autoRedefine/>
    <w:qFormat/>
    <w:uiPriority w:val="32"/>
    <w:rPr>
      <w:b/>
      <w:bCs/>
      <w:smallCaps/>
      <w:color w:val="C0504D"/>
      <w:spacing w:val="5"/>
      <w:u w:val="single"/>
    </w:rPr>
  </w:style>
  <w:style w:type="character" w:customStyle="1" w:styleId="377">
    <w:name w:val="gray6"/>
    <w:basedOn w:val="65"/>
    <w:autoRedefine/>
    <w:qFormat/>
    <w:uiPriority w:val="0"/>
  </w:style>
  <w:style w:type="character" w:customStyle="1" w:styleId="378">
    <w:name w:val="Char Char202"/>
    <w:autoRedefine/>
    <w:qFormat/>
    <w:uiPriority w:val="0"/>
    <w:rPr>
      <w:b/>
      <w:bCs/>
      <w:kern w:val="44"/>
      <w:sz w:val="44"/>
      <w:szCs w:val="44"/>
    </w:rPr>
  </w:style>
  <w:style w:type="character" w:customStyle="1" w:styleId="379">
    <w:name w:val="ändrad Char"/>
    <w:autoRedefine/>
    <w:qFormat/>
    <w:uiPriority w:val="0"/>
    <w:rPr>
      <w:rFonts w:eastAsia="仿宋_GB2312"/>
      <w:kern w:val="2"/>
      <w:sz w:val="21"/>
      <w:szCs w:val="24"/>
      <w:lang w:val="en-US" w:eastAsia="zh-CN" w:bidi="ar-SA"/>
    </w:rPr>
  </w:style>
  <w:style w:type="character" w:customStyle="1" w:styleId="380">
    <w:name w:val="大标题 Char Char"/>
    <w:link w:val="381"/>
    <w:autoRedefine/>
    <w:qFormat/>
    <w:uiPriority w:val="0"/>
    <w:rPr>
      <w:rFonts w:ascii="黑体" w:hAnsi="黑体" w:eastAsia="黑体"/>
      <w:b/>
      <w:bCs/>
      <w:kern w:val="2"/>
      <w:sz w:val="72"/>
      <w:szCs w:val="72"/>
    </w:rPr>
  </w:style>
  <w:style w:type="paragraph" w:customStyle="1" w:styleId="381">
    <w:name w:val="大标题"/>
    <w:basedOn w:val="1"/>
    <w:link w:val="380"/>
    <w:autoRedefine/>
    <w:qFormat/>
    <w:uiPriority w:val="0"/>
    <w:pPr>
      <w:spacing w:line="40" w:lineRule="atLeast"/>
    </w:pPr>
    <w:rPr>
      <w:rFonts w:ascii="黑体" w:hAnsi="黑体" w:eastAsia="黑体"/>
      <w:b/>
      <w:bCs/>
      <w:sz w:val="72"/>
      <w:szCs w:val="72"/>
    </w:rPr>
  </w:style>
  <w:style w:type="character" w:customStyle="1" w:styleId="382">
    <w:name w:val="Ò³Ã¼ Char Char"/>
    <w:autoRedefine/>
    <w:qFormat/>
    <w:uiPriority w:val="0"/>
    <w:rPr>
      <w:sz w:val="18"/>
      <w:szCs w:val="18"/>
    </w:rPr>
  </w:style>
  <w:style w:type="character" w:customStyle="1" w:styleId="383">
    <w:name w:val="Char Char161"/>
    <w:autoRedefine/>
    <w:qFormat/>
    <w:uiPriority w:val="0"/>
    <w:rPr>
      <w:rFonts w:eastAsia="仿宋_GB2312"/>
      <w:sz w:val="21"/>
      <w:lang w:val="en-US" w:eastAsia="zh-CN" w:bidi="ar-SA"/>
    </w:rPr>
  </w:style>
  <w:style w:type="character" w:customStyle="1" w:styleId="384">
    <w:name w:val="style41"/>
    <w:autoRedefine/>
    <w:qFormat/>
    <w:uiPriority w:val="0"/>
    <w:rPr>
      <w:color w:val="auto"/>
    </w:rPr>
  </w:style>
  <w:style w:type="character" w:customStyle="1" w:styleId="385">
    <w:name w:val="正文4 Char Char"/>
    <w:link w:val="386"/>
    <w:autoRedefine/>
    <w:qFormat/>
    <w:uiPriority w:val="0"/>
    <w:rPr>
      <w:kern w:val="2"/>
      <w:sz w:val="24"/>
      <w:szCs w:val="24"/>
    </w:rPr>
  </w:style>
  <w:style w:type="paragraph" w:customStyle="1" w:styleId="386">
    <w:name w:val="正文4"/>
    <w:basedOn w:val="1"/>
    <w:link w:val="385"/>
    <w:autoRedefine/>
    <w:qFormat/>
    <w:uiPriority w:val="0"/>
    <w:pPr>
      <w:tabs>
        <w:tab w:val="left" w:pos="520"/>
      </w:tabs>
      <w:spacing w:before="60" w:after="60" w:line="360" w:lineRule="auto"/>
    </w:pPr>
    <w:rPr>
      <w:sz w:val="24"/>
    </w:rPr>
  </w:style>
  <w:style w:type="character" w:customStyle="1" w:styleId="387">
    <w:name w:val="Char Char201"/>
    <w:autoRedefine/>
    <w:qFormat/>
    <w:uiPriority w:val="0"/>
    <w:rPr>
      <w:rFonts w:ascii="Verdana" w:hAnsi="Verdana" w:eastAsia="仿宋_GB2312" w:cs="新宋体"/>
      <w:b/>
      <w:bCs/>
      <w:sz w:val="32"/>
      <w:szCs w:val="32"/>
    </w:rPr>
  </w:style>
  <w:style w:type="character" w:customStyle="1" w:styleId="388">
    <w:name w:val="Char Char20"/>
    <w:autoRedefine/>
    <w:qFormat/>
    <w:uiPriority w:val="0"/>
    <w:rPr>
      <w:rFonts w:ascii="Tahoma" w:hAnsi="Tahoma" w:eastAsia="Helvetica"/>
      <w:sz w:val="21"/>
      <w:szCs w:val="21"/>
      <w:lang w:val="en-US" w:eastAsia="zh-CN" w:bidi="ar-SA"/>
    </w:rPr>
  </w:style>
  <w:style w:type="character" w:customStyle="1" w:styleId="389">
    <w:name w:val="Char Char10"/>
    <w:autoRedefine/>
    <w:qFormat/>
    <w:uiPriority w:val="0"/>
    <w:rPr>
      <w:rFonts w:eastAsia="仿宋_GB2312"/>
      <w:b/>
      <w:bCs/>
      <w:kern w:val="2"/>
      <w:sz w:val="21"/>
      <w:szCs w:val="24"/>
      <w:lang w:val="en-US" w:eastAsia="zh-CN" w:bidi="ar-SA"/>
    </w:rPr>
  </w:style>
  <w:style w:type="character" w:customStyle="1" w:styleId="390">
    <w:name w:val="heading 9 Char1"/>
    <w:autoRedefine/>
    <w:qFormat/>
    <w:uiPriority w:val="0"/>
    <w:rPr>
      <w:rFonts w:ascii="Tahoma" w:hAnsi="Tahoma" w:eastAsia="Helvetica"/>
      <w:sz w:val="21"/>
      <w:lang w:val="en-US" w:eastAsia="zh-CN" w:bidi="ar-SA"/>
    </w:rPr>
  </w:style>
  <w:style w:type="character" w:customStyle="1" w:styleId="391">
    <w:name w:val="PI Char1"/>
    <w:autoRedefine/>
    <w:qFormat/>
    <w:uiPriority w:val="0"/>
    <w:rPr>
      <w:rFonts w:eastAsia="仿宋_GB2312"/>
      <w:kern w:val="2"/>
      <w:sz w:val="24"/>
      <w:szCs w:val="24"/>
      <w:lang w:val="en-US" w:eastAsia="zh-CN" w:bidi="ar-SA"/>
    </w:rPr>
  </w:style>
  <w:style w:type="character" w:customStyle="1" w:styleId="392">
    <w:name w:val="注释正文"/>
    <w:autoRedefine/>
    <w:qFormat/>
    <w:uiPriority w:val="0"/>
    <w:rPr>
      <w:rFonts w:eastAsia="宋体"/>
      <w:sz w:val="28"/>
      <w:u w:val="single"/>
    </w:rPr>
  </w:style>
  <w:style w:type="character" w:customStyle="1" w:styleId="393">
    <w:name w:val="金保标题2 Char"/>
    <w:link w:val="394"/>
    <w:autoRedefine/>
    <w:qFormat/>
    <w:uiPriority w:val="0"/>
    <w:rPr>
      <w:rFonts w:ascii="新宋体" w:hAnsi="新宋体" w:eastAsia="新宋体"/>
      <w:b/>
      <w:bCs/>
      <w:color w:val="000000"/>
      <w:kern w:val="2"/>
      <w:sz w:val="22"/>
      <w:szCs w:val="22"/>
      <w:lang w:val="zh-CN"/>
    </w:rPr>
  </w:style>
  <w:style w:type="paragraph" w:customStyle="1" w:styleId="394">
    <w:name w:val="金保标题2"/>
    <w:basedOn w:val="4"/>
    <w:next w:val="1"/>
    <w:link w:val="393"/>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autoRedefine/>
    <w:qFormat/>
    <w:uiPriority w:val="0"/>
    <w:rPr>
      <w:rFonts w:ascii="Helvetica" w:hAnsi="Tahoma" w:eastAsia="Helvetica"/>
      <w:bCs/>
      <w:sz w:val="24"/>
      <w:szCs w:val="24"/>
    </w:rPr>
  </w:style>
  <w:style w:type="paragraph" w:customStyle="1" w:styleId="396">
    <w:name w:val="样式 标题 3 + 黑体 小四"/>
    <w:basedOn w:val="5"/>
    <w:link w:val="395"/>
    <w:autoRedefine/>
    <w:qFormat/>
    <w:uiPriority w:val="0"/>
    <w:pPr>
      <w:spacing w:before="0" w:after="0" w:line="415" w:lineRule="auto"/>
    </w:pPr>
    <w:rPr>
      <w:rFonts w:ascii="Helvetica" w:hAnsi="Tahoma" w:eastAsia="Helvetica"/>
      <w:b w:val="0"/>
      <w:kern w:val="0"/>
      <w:sz w:val="24"/>
      <w:szCs w:val="24"/>
    </w:rPr>
  </w:style>
  <w:style w:type="character" w:customStyle="1" w:styleId="397">
    <w:name w:val="宏文本 Char"/>
    <w:autoRedefine/>
    <w:qFormat/>
    <w:uiPriority w:val="0"/>
    <w:rPr>
      <w:rFonts w:ascii="Wingdings" w:hAnsi="Wingdings" w:eastAsia="Times New Roman"/>
      <w:kern w:val="2"/>
      <w:sz w:val="24"/>
      <w:szCs w:val="24"/>
    </w:rPr>
  </w:style>
  <w:style w:type="character" w:customStyle="1" w:styleId="398">
    <w:name w:val="Subtle Reference1"/>
    <w:autoRedefine/>
    <w:qFormat/>
    <w:uiPriority w:val="0"/>
    <w:rPr>
      <w:smallCaps/>
      <w:color w:val="C0504D"/>
      <w:u w:val="single"/>
    </w:rPr>
  </w:style>
  <w:style w:type="character" w:customStyle="1" w:styleId="399">
    <w:name w:val="Char Char191"/>
    <w:autoRedefine/>
    <w:qFormat/>
    <w:uiPriority w:val="0"/>
    <w:rPr>
      <w:rFonts w:ascii="Verdana" w:hAnsi="Verdana"/>
      <w:b/>
      <w:bCs/>
      <w:kern w:val="2"/>
      <w:sz w:val="32"/>
      <w:szCs w:val="32"/>
    </w:rPr>
  </w:style>
  <w:style w:type="character" w:customStyle="1" w:styleId="400">
    <w:name w:val="Char Char Char2"/>
    <w:autoRedefine/>
    <w:qFormat/>
    <w:uiPriority w:val="0"/>
    <w:rPr>
      <w:rFonts w:ascii="仿宋_GB2312" w:hAnsi="Wingdings" w:eastAsia="仿宋_GB2312"/>
      <w:sz w:val="21"/>
      <w:szCs w:val="21"/>
      <w:lang w:val="en-US" w:eastAsia="zh-CN" w:bidi="ar-SA"/>
    </w:rPr>
  </w:style>
  <w:style w:type="character" w:customStyle="1" w:styleId="401">
    <w:name w:val="PI Char2"/>
    <w:autoRedefine/>
    <w:qFormat/>
    <w:uiPriority w:val="0"/>
    <w:rPr>
      <w:kern w:val="2"/>
      <w:sz w:val="24"/>
      <w:szCs w:val="24"/>
    </w:rPr>
  </w:style>
  <w:style w:type="character" w:customStyle="1" w:styleId="402">
    <w:name w:val="小标题 Char Char"/>
    <w:link w:val="403"/>
    <w:autoRedefine/>
    <w:qFormat/>
    <w:uiPriority w:val="0"/>
    <w:rPr>
      <w:rFonts w:ascii="黑体" w:hAnsi="黑体" w:eastAsia="黑体"/>
      <w:b/>
      <w:bCs/>
      <w:kern w:val="2"/>
      <w:sz w:val="48"/>
      <w:szCs w:val="48"/>
    </w:rPr>
  </w:style>
  <w:style w:type="paragraph" w:customStyle="1" w:styleId="403">
    <w:name w:val="小标题"/>
    <w:basedOn w:val="1"/>
    <w:link w:val="402"/>
    <w:autoRedefine/>
    <w:qFormat/>
    <w:uiPriority w:val="0"/>
    <w:pPr>
      <w:spacing w:line="40" w:lineRule="atLeast"/>
    </w:pPr>
    <w:rPr>
      <w:rFonts w:ascii="黑体" w:hAnsi="黑体" w:eastAsia="黑体"/>
      <w:b/>
      <w:bCs/>
      <w:sz w:val="48"/>
      <w:szCs w:val="48"/>
    </w:rPr>
  </w:style>
  <w:style w:type="paragraph" w:customStyle="1" w:styleId="404">
    <w:name w:val="標題10.3-1"/>
    <w:basedOn w:val="405"/>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Char"/>
    <w:basedOn w:val="65"/>
    <w:link w:val="22"/>
    <w:autoRedefine/>
    <w:qFormat/>
    <w:uiPriority w:val="0"/>
    <w:rPr>
      <w:rFonts w:ascii="等线" w:hAnsi="等线" w:eastAsia="等线" w:cs="等线"/>
      <w:sz w:val="24"/>
    </w:rPr>
  </w:style>
  <w:style w:type="paragraph" w:customStyle="1" w:styleId="408">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3"/>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Char"/>
    <w:basedOn w:val="65"/>
    <w:link w:val="13"/>
    <w:autoRedefine/>
    <w:qFormat/>
    <w:uiPriority w:val="0"/>
    <w:rPr>
      <w:rFonts w:ascii="DFKai-SB" w:hAnsi="DFKai-SB" w:eastAsia="DFKai-SB" w:cs="等线"/>
      <w:kern w:val="2"/>
      <w:lang w:eastAsia="zh-TW"/>
    </w:rPr>
  </w:style>
  <w:style w:type="paragraph" w:customStyle="1" w:styleId="42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4"/>
    <w:autoRedefine/>
    <w:qFormat/>
    <w:uiPriority w:val="0"/>
    <w:pPr>
      <w:ind w:left="576" w:hanging="576"/>
    </w:pPr>
    <w:rPr>
      <w:rFonts w:ascii="华文中宋" w:eastAsia="华文中宋"/>
      <w:kern w:val="0"/>
    </w:rPr>
  </w:style>
  <w:style w:type="character" w:customStyle="1" w:styleId="422">
    <w:name w:val="正文文本 3 Char"/>
    <w:basedOn w:val="65"/>
    <w:link w:val="16"/>
    <w:autoRedefine/>
    <w:qFormat/>
    <w:uiPriority w:val="0"/>
    <w:rPr>
      <w:rFonts w:ascii="等线" w:hAnsi="等线" w:eastAsia="等线" w:cs="等线"/>
    </w:rPr>
  </w:style>
  <w:style w:type="paragraph" w:customStyle="1" w:styleId="423">
    <w:name w:val="数字级连标题2"/>
    <w:basedOn w:val="4"/>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autoRedefine/>
    <w:qFormat/>
    <w:uiPriority w:val="0"/>
    <w:pPr>
      <w:outlineLvl w:val="5"/>
    </w:pPr>
  </w:style>
  <w:style w:type="paragraph" w:customStyle="1" w:styleId="425">
    <w:name w:val="三级条标题"/>
    <w:basedOn w:val="426"/>
    <w:next w:val="1"/>
    <w:autoRedefine/>
    <w:qFormat/>
    <w:uiPriority w:val="0"/>
    <w:pPr>
      <w:outlineLvl w:val="4"/>
    </w:pPr>
  </w:style>
  <w:style w:type="paragraph" w:customStyle="1" w:styleId="426">
    <w:name w:val="二级条标题"/>
    <w:basedOn w:val="427"/>
    <w:next w:val="1"/>
    <w:autoRedefine/>
    <w:qFormat/>
    <w:uiPriority w:val="0"/>
    <w:pPr>
      <w:outlineLvl w:val="3"/>
    </w:pPr>
  </w:style>
  <w:style w:type="paragraph" w:customStyle="1" w:styleId="427">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8">
    <w:name w:val="宏文本 Char1"/>
    <w:basedOn w:val="65"/>
    <w:link w:val="2"/>
    <w:autoRedefine/>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0">
    <w:name w:val="正文首行缩进1"/>
    <w:basedOn w:val="24"/>
    <w:autoRedefine/>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Char1"/>
    <w:basedOn w:val="65"/>
    <w:link w:val="54"/>
    <w:autoRedefine/>
    <w:qFormat/>
    <w:uiPriority w:val="0"/>
    <w:rPr>
      <w:kern w:val="2"/>
      <w:sz w:val="21"/>
      <w:szCs w:val="24"/>
    </w:rPr>
  </w:style>
  <w:style w:type="character" w:customStyle="1" w:styleId="434">
    <w:name w:val="脚注文本 Char"/>
    <w:basedOn w:val="65"/>
    <w:link w:val="50"/>
    <w:autoRedefine/>
    <w:qFormat/>
    <w:uiPriority w:val="0"/>
    <w:rPr>
      <w:rFonts w:ascii="等线" w:hAnsi="等线" w:eastAsia="等线" w:cs="等线"/>
      <w:kern w:val="2"/>
      <w:sz w:val="18"/>
      <w:szCs w:val="18"/>
    </w:rPr>
  </w:style>
  <w:style w:type="character" w:customStyle="1" w:styleId="435">
    <w:name w:val="副标题 Char2"/>
    <w:basedOn w:val="65"/>
    <w:link w:val="48"/>
    <w:autoRedefine/>
    <w:qFormat/>
    <w:uiPriority w:val="0"/>
    <w:rPr>
      <w:rFonts w:ascii="Cambria" w:hAnsi="Cambria" w:cs="宋体"/>
      <w:b/>
      <w:bCs/>
      <w:kern w:val="28"/>
      <w:sz w:val="32"/>
      <w:szCs w:val="32"/>
    </w:rPr>
  </w:style>
  <w:style w:type="character" w:customStyle="1" w:styleId="436">
    <w:name w:val="信息标题 Char1"/>
    <w:basedOn w:val="65"/>
    <w:link w:val="55"/>
    <w:autoRedefine/>
    <w:qFormat/>
    <w:uiPriority w:val="0"/>
    <w:rPr>
      <w:rFonts w:ascii="Cambria" w:hAnsi="Cambria" w:eastAsia="宋体" w:cs="宋体"/>
      <w:kern w:val="2"/>
      <w:sz w:val="24"/>
      <w:szCs w:val="24"/>
      <w:shd w:val="pct20" w:color="auto" w:fill="auto"/>
    </w:rPr>
  </w:style>
  <w:style w:type="character" w:customStyle="1" w:styleId="437">
    <w:name w:val="正文首行缩进 2 Char1"/>
    <w:basedOn w:val="88"/>
    <w:link w:val="61"/>
    <w:autoRedefine/>
    <w:qFormat/>
    <w:uiPriority w:val="0"/>
    <w:rPr>
      <w:kern w:val="2"/>
      <w:sz w:val="21"/>
      <w:szCs w:val="24"/>
    </w:rPr>
  </w:style>
  <w:style w:type="character" w:customStyle="1" w:styleId="438">
    <w:name w:val="HTML 预设格式 Char2"/>
    <w:basedOn w:val="65"/>
    <w:link w:val="56"/>
    <w:autoRedefine/>
    <w:qFormat/>
    <w:uiPriority w:val="0"/>
    <w:rPr>
      <w:rFonts w:ascii="Courier New" w:hAnsi="Courier New" w:cs="Courier New"/>
      <w:kern w:val="2"/>
    </w:rPr>
  </w:style>
  <w:style w:type="character" w:customStyle="1" w:styleId="439">
    <w:name w:val="签名 Char"/>
    <w:basedOn w:val="65"/>
    <w:link w:val="45"/>
    <w:autoRedefine/>
    <w:qFormat/>
    <w:uiPriority w:val="0"/>
    <w:rPr>
      <w:rFonts w:ascii="等线" w:hAnsi="等线" w:eastAsia="黑体" w:cs="等线"/>
      <w:sz w:val="24"/>
    </w:rPr>
  </w:style>
  <w:style w:type="paragraph" w:customStyle="1" w:styleId="440">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5"/>
    <w:autoRedefine/>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19"/>
    <w:autoRedefine/>
    <w:qFormat/>
    <w:uiPriority w:val="0"/>
    <w:rPr>
      <w:rFonts w:ascii="Tahoma" w:hAnsi="Tahoma" w:eastAsia="等线" w:cs="Tahoma"/>
      <w:kern w:val="0"/>
      <w:sz w:val="18"/>
    </w:rPr>
  </w:style>
  <w:style w:type="paragraph" w:customStyle="1" w:styleId="443">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5"/>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autoRedefine/>
    <w:qFormat/>
    <w:uiPriority w:val="0"/>
    <w:pPr>
      <w:spacing w:before="120"/>
    </w:pPr>
    <w:rPr>
      <w:rFonts w:ascii="等线" w:hAnsi="等线" w:eastAsia="等线" w:cs="等线"/>
      <w:sz w:val="18"/>
      <w:lang w:val="en-US" w:eastAsia="zh-CN" w:bidi="ar-SA"/>
    </w:rPr>
  </w:style>
  <w:style w:type="character" w:customStyle="1" w:styleId="458">
    <w:name w:val="引用 Char1"/>
    <w:basedOn w:val="65"/>
    <w:link w:val="257"/>
    <w:autoRedefine/>
    <w:qFormat/>
    <w:uiPriority w:val="99"/>
    <w:rPr>
      <w:i/>
      <w:iCs/>
      <w:color w:val="000000"/>
      <w:kern w:val="2"/>
      <w:sz w:val="21"/>
      <w:szCs w:val="24"/>
    </w:rPr>
  </w:style>
  <w:style w:type="paragraph" w:customStyle="1" w:styleId="459">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24"/>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6"/>
    <w:autoRedefine/>
    <w:qFormat/>
    <w:uiPriority w:val="0"/>
  </w:style>
  <w:style w:type="paragraph" w:customStyle="1" w:styleId="482">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3">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5"/>
    <w:autoRedefine/>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4"/>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7"/>
    <w:next w:val="17"/>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3"/>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autoRedefine/>
    <w:qFormat/>
    <w:uiPriority w:val="0"/>
    <w:pPr>
      <w:outlineLvl w:val="6"/>
    </w:pPr>
  </w:style>
  <w:style w:type="paragraph" w:customStyle="1" w:styleId="508">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3"/>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autoRedefine/>
    <w:qFormat/>
    <w:uiPriority w:val="0"/>
    <w:pPr>
      <w:ind w:left="1146"/>
    </w:pPr>
  </w:style>
  <w:style w:type="paragraph" w:customStyle="1" w:styleId="511">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4"/>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8">
    <w:name w:val="正文文字 5"/>
    <w:basedOn w:val="27"/>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9"/>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3"/>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autoRedefine/>
    <w:qFormat/>
    <w:uiPriority w:val="0"/>
    <w:rPr>
      <w:b/>
    </w:rPr>
  </w:style>
  <w:style w:type="paragraph" w:customStyle="1" w:styleId="534">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6">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autoRedefine/>
    <w:qFormat/>
    <w:uiPriority w:val="99"/>
    <w:rPr>
      <w:rFonts w:ascii="等线" w:hAnsi="等线" w:eastAsia="等线" w:cs="等线"/>
      <w:kern w:val="2"/>
      <w:sz w:val="21"/>
      <w:szCs w:val="24"/>
      <w:lang w:val="en-US" w:eastAsia="zh-CN" w:bidi="ar-SA"/>
    </w:rPr>
  </w:style>
  <w:style w:type="paragraph" w:customStyle="1" w:styleId="540">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24"/>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4"/>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5"/>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8"/>
    <w:autoRedefine/>
    <w:qFormat/>
    <w:uiPriority w:val="0"/>
    <w:pPr>
      <w:ind w:left="1134" w:hanging="1134"/>
    </w:pPr>
    <w:rPr>
      <w:rFonts w:ascii="黑体" w:hAnsi="黑体" w:eastAsia="黑体"/>
      <w:kern w:val="0"/>
    </w:rPr>
  </w:style>
  <w:style w:type="paragraph" w:customStyle="1" w:styleId="563">
    <w:name w:val="Normal0"/>
    <w:autoRedefine/>
    <w:qFormat/>
    <w:uiPriority w:val="0"/>
    <w:rPr>
      <w:rFonts w:ascii="等线" w:hAnsi="等线" w:eastAsia="等线" w:cs="等线"/>
      <w:lang w:val="en-US" w:eastAsia="en-US" w:bidi="ar-SA"/>
    </w:rPr>
  </w:style>
  <w:style w:type="paragraph" w:customStyle="1" w:styleId="564">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3"/>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5"/>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autoRedefine/>
    <w:qFormat/>
    <w:uiPriority w:val="0"/>
    <w:rPr>
      <w:rFonts w:ascii="等线" w:hAnsi="等线" w:eastAsia="黑体" w:cs="等线"/>
      <w:sz w:val="28"/>
    </w:rPr>
  </w:style>
  <w:style w:type="paragraph" w:customStyle="1" w:styleId="58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7"/>
    <w:autoRedefine/>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3"/>
    <w:next w:val="1"/>
    <w:autoRedefine/>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Char1"/>
    <w:basedOn w:val="65"/>
    <w:link w:val="322"/>
    <w:autoRedefine/>
    <w:qFormat/>
    <w:uiPriority w:val="99"/>
    <w:rPr>
      <w:b/>
      <w:bCs/>
      <w:i/>
      <w:iCs/>
      <w:color w:val="4F81BD"/>
      <w:kern w:val="2"/>
      <w:sz w:val="21"/>
      <w:szCs w:val="24"/>
    </w:rPr>
  </w:style>
  <w:style w:type="paragraph" w:customStyle="1" w:styleId="594">
    <w:name w:val="Char Char Char Char Char Char1 Char Char Char Char"/>
    <w:basedOn w:val="19"/>
    <w:autoRedefine/>
    <w:qFormat/>
    <w:uiPriority w:val="0"/>
    <w:pPr>
      <w:spacing w:line="360" w:lineRule="auto"/>
      <w:ind w:firstLine="200" w:firstLineChars="200"/>
    </w:pPr>
    <w:rPr>
      <w:rFonts w:ascii="Tahoma" w:hAnsi="Tahoma" w:eastAsia="等线"/>
      <w:sz w:val="24"/>
      <w:szCs w:val="20"/>
    </w:rPr>
  </w:style>
  <w:style w:type="paragraph" w:customStyle="1" w:styleId="5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autoRedefine/>
    <w:qFormat/>
    <w:uiPriority w:val="0"/>
    <w:rPr>
      <w:rFonts w:ascii="等线" w:hAnsi="等线" w:eastAsia="等线" w:cs="等线"/>
    </w:rPr>
  </w:style>
  <w:style w:type="paragraph" w:customStyle="1" w:styleId="600">
    <w:name w:val="标3"/>
    <w:basedOn w:val="5"/>
    <w:next w:val="6"/>
    <w:autoRedefine/>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autoRedefine/>
    <w:qFormat/>
    <w:uiPriority w:val="0"/>
    <w:rPr>
      <w:rFonts w:ascii="等线" w:hAnsi="等线" w:eastAsia="等线" w:cs="等线"/>
      <w:sz w:val="22"/>
      <w:szCs w:val="22"/>
      <w:lang w:val="en-US" w:eastAsia="zh-CN" w:bidi="ar-SA"/>
    </w:rPr>
  </w:style>
  <w:style w:type="paragraph" w:customStyle="1" w:styleId="608">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5"/>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7"/>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autoRedefine/>
    <w:qFormat/>
    <w:uiPriority w:val="0"/>
    <w:rPr>
      <w:rFonts w:ascii="等线" w:hAnsi="等线" w:eastAsia="等线" w:cs="等线"/>
    </w:rPr>
  </w:style>
  <w:style w:type="paragraph" w:customStyle="1" w:styleId="615">
    <w:name w:val="其他标准标志"/>
    <w:basedOn w:val="495"/>
    <w:autoRedefine/>
    <w:qFormat/>
    <w:uiPriority w:val="0"/>
    <w:pPr>
      <w:framePr w:w="6101" w:wrap="around" w:vAnchor="page" w:hAnchor="page" w:x="4673" w:y="942"/>
    </w:pPr>
    <w:rPr>
      <w:w w:val="130"/>
    </w:rPr>
  </w:style>
  <w:style w:type="paragraph" w:customStyle="1" w:styleId="61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4"/>
    <w:next w:val="61"/>
    <w:autoRedefine/>
    <w:qFormat/>
    <w:uiPriority w:val="0"/>
    <w:pPr>
      <w:spacing w:line="415" w:lineRule="auto"/>
      <w:ind w:left="420"/>
    </w:pPr>
    <w:rPr>
      <w:rFonts w:eastAsia="黑体"/>
      <w:kern w:val="0"/>
      <w:sz w:val="30"/>
    </w:rPr>
  </w:style>
  <w:style w:type="paragraph" w:customStyle="1" w:styleId="618">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autoRedefine/>
    <w:qFormat/>
    <w:uiPriority w:val="0"/>
    <w:rPr>
      <w:rFonts w:ascii="等线" w:hAnsi="等线" w:eastAsia="等线" w:cs="等线"/>
    </w:rPr>
  </w:style>
  <w:style w:type="paragraph" w:customStyle="1" w:styleId="62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3"/>
    <w:autoRedefine/>
    <w:qFormat/>
    <w:uiPriority w:val="0"/>
    <w:pPr>
      <w:jc w:val="left"/>
    </w:pPr>
    <w:rPr>
      <w:rFonts w:ascii="等线" w:hAnsi="等线" w:eastAsia="等线"/>
      <w:shd w:val="clear" w:color="auto" w:fill="auto"/>
    </w:rPr>
  </w:style>
  <w:style w:type="paragraph" w:customStyle="1" w:styleId="62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5"/>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3"/>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4"/>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autoRedefine/>
    <w:qFormat/>
    <w:uiPriority w:val="99"/>
    <w:rPr>
      <w:rFonts w:ascii="等线" w:hAnsi="等线" w:eastAsia="等线" w:cs="等线"/>
      <w:kern w:val="2"/>
      <w:sz w:val="21"/>
      <w:szCs w:val="24"/>
      <w:lang w:val="en-US" w:eastAsia="zh-CN" w:bidi="ar-SA"/>
    </w:rPr>
  </w:style>
  <w:style w:type="paragraph" w:customStyle="1" w:styleId="646">
    <w:name w:val="_Style 3"/>
    <w:autoRedefine/>
    <w:qFormat/>
    <w:uiPriority w:val="0"/>
    <w:rPr>
      <w:rFonts w:ascii="Calibri" w:hAnsi="Calibri" w:eastAsia="等线" w:cs="等线"/>
      <w:sz w:val="22"/>
      <w:szCs w:val="22"/>
      <w:lang w:val="en-US" w:eastAsia="zh-CN" w:bidi="ar-SA"/>
    </w:rPr>
  </w:style>
  <w:style w:type="paragraph" w:customStyle="1" w:styleId="647">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7"/>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autoRedefine/>
    <w:qFormat/>
    <w:uiPriority w:val="0"/>
    <w:pPr>
      <w:ind w:firstLine="420" w:firstLineChars="200"/>
    </w:pPr>
    <w:rPr>
      <w:rFonts w:ascii="Calibri" w:hAnsi="Calibri" w:eastAsia="等线" w:cs="等线"/>
      <w:szCs w:val="22"/>
    </w:rPr>
  </w:style>
  <w:style w:type="paragraph" w:customStyle="1" w:styleId="656">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3"/>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2">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5"/>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autoRedefine/>
    <w:qFormat/>
    <w:uiPriority w:val="0"/>
    <w:rPr>
      <w:rFonts w:ascii="等线" w:hAnsi="等线" w:eastAsia="等线" w:cs="等线"/>
    </w:rPr>
  </w:style>
  <w:style w:type="paragraph" w:customStyle="1" w:styleId="6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autoRedefine/>
    <w:qFormat/>
    <w:uiPriority w:val="0"/>
    <w:pPr>
      <w:ind w:left="1418" w:hanging="284"/>
    </w:pPr>
  </w:style>
  <w:style w:type="paragraph" w:customStyle="1" w:styleId="678">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19"/>
    <w:autoRedefine/>
    <w:qFormat/>
    <w:uiPriority w:val="0"/>
    <w:rPr>
      <w:rFonts w:eastAsia="等线"/>
    </w:rPr>
  </w:style>
  <w:style w:type="paragraph" w:customStyle="1" w:styleId="680">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4"/>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autoRedefine/>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8"/>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autoRedefine/>
    <w:qFormat/>
    <w:uiPriority w:val="0"/>
    <w:rPr>
      <w:rFonts w:ascii="Tahoma" w:hAnsi="Tahoma" w:eastAsia="等线" w:cs="等线"/>
      <w:sz w:val="24"/>
      <w:szCs w:val="20"/>
    </w:rPr>
  </w:style>
  <w:style w:type="paragraph" w:customStyle="1" w:styleId="699">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3"/>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0">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autoRedefine/>
    <w:qFormat/>
    <w:uiPriority w:val="0"/>
    <w:pPr>
      <w:jc w:val="center"/>
    </w:pPr>
    <w:rPr>
      <w:rFonts w:ascii="宋体" w:hAnsi="宋体" w:eastAsia="等线" w:cs="等线"/>
      <w:color w:val="000000"/>
      <w:szCs w:val="21"/>
    </w:rPr>
  </w:style>
  <w:style w:type="paragraph" w:customStyle="1" w:styleId="718">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autoRedefine/>
    <w:qFormat/>
    <w:uiPriority w:val="0"/>
    <w:pPr>
      <w:tabs>
        <w:tab w:val="left" w:pos="360"/>
      </w:tabs>
    </w:pPr>
    <w:rPr>
      <w:rFonts w:ascii="等线" w:hAnsi="等线" w:eastAsia="等线" w:cs="等线"/>
      <w:szCs w:val="20"/>
    </w:rPr>
  </w:style>
  <w:style w:type="paragraph" w:customStyle="1" w:styleId="7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3">
    <w:name w:val="text1"/>
    <w:autoRedefine/>
    <w:qFormat/>
    <w:uiPriority w:val="0"/>
    <w:rPr>
      <w:rFonts w:ascii="等线" w:hAnsi="等线" w:eastAsia="DFKai-SB" w:cs="等线"/>
      <w:sz w:val="28"/>
      <w:lang w:val="en-US" w:eastAsia="zh-TW" w:bidi="ar-SA"/>
    </w:rPr>
  </w:style>
  <w:style w:type="table" w:customStyle="1" w:styleId="734">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37">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autoRedefine/>
    <w:qFormat/>
    <w:uiPriority w:val="99"/>
    <w:rPr>
      <w:kern w:val="2"/>
      <w:sz w:val="24"/>
    </w:rPr>
  </w:style>
  <w:style w:type="character" w:customStyle="1" w:styleId="739">
    <w:name w:val="font51"/>
    <w:autoRedefine/>
    <w:qFormat/>
    <w:uiPriority w:val="0"/>
    <w:rPr>
      <w:rFonts w:hint="eastAsia" w:ascii="宋体" w:hAnsi="宋体" w:eastAsia="宋体" w:cs="宋体"/>
      <w:color w:val="000000"/>
      <w:sz w:val="24"/>
      <w:szCs w:val="24"/>
      <w:u w:val="none"/>
    </w:rPr>
  </w:style>
  <w:style w:type="character" w:customStyle="1" w:styleId="740">
    <w:name w:val="fontstyle31"/>
    <w:autoRedefine/>
    <w:qFormat/>
    <w:uiPriority w:val="0"/>
    <w:rPr>
      <w:rFonts w:ascii="TimesNewRomanPSMT" w:hAnsi="TimesNewRomanPSMT" w:eastAsia="TimesNewRomanPSMT" w:cs="TimesNewRomanPSMT"/>
      <w:color w:val="000000"/>
      <w:sz w:val="22"/>
      <w:szCs w:val="22"/>
    </w:rPr>
  </w:style>
  <w:style w:type="character" w:customStyle="1" w:styleId="741">
    <w:name w:val="尾注文本 Char"/>
    <w:autoRedefine/>
    <w:qFormat/>
    <w:uiPriority w:val="1"/>
    <w:rPr>
      <w:kern w:val="2"/>
      <w:sz w:val="28"/>
      <w:szCs w:val="24"/>
    </w:rPr>
  </w:style>
  <w:style w:type="character" w:customStyle="1" w:styleId="742">
    <w:name w:val="font81"/>
    <w:autoRedefine/>
    <w:qFormat/>
    <w:uiPriority w:val="0"/>
    <w:rPr>
      <w:rFonts w:hint="eastAsia" w:ascii="宋体" w:hAnsi="宋体" w:eastAsia="宋体" w:cs="宋体"/>
      <w:color w:val="000000"/>
      <w:sz w:val="20"/>
      <w:szCs w:val="20"/>
      <w:u w:val="none"/>
    </w:rPr>
  </w:style>
  <w:style w:type="character" w:customStyle="1" w:styleId="743">
    <w:name w:val="font101"/>
    <w:autoRedefine/>
    <w:qFormat/>
    <w:uiPriority w:val="0"/>
    <w:rPr>
      <w:rFonts w:hint="eastAsia" w:ascii="宋体" w:hAnsi="宋体" w:eastAsia="宋体" w:cs="宋体"/>
      <w:b/>
      <w:color w:val="000000"/>
      <w:sz w:val="24"/>
      <w:szCs w:val="24"/>
      <w:u w:val="none"/>
    </w:rPr>
  </w:style>
  <w:style w:type="character" w:customStyle="1" w:styleId="744">
    <w:name w:val="表头编号 Char"/>
    <w:link w:val="745"/>
    <w:autoRedefine/>
    <w:qFormat/>
    <w:uiPriority w:val="0"/>
    <w:rPr>
      <w:rFonts w:eastAsia="黑体"/>
      <w:sz w:val="24"/>
      <w:szCs w:val="24"/>
    </w:rPr>
  </w:style>
  <w:style w:type="paragraph" w:customStyle="1" w:styleId="745">
    <w:name w:val="表头编号"/>
    <w:basedOn w:val="1"/>
    <w:next w:val="746"/>
    <w:link w:val="744"/>
    <w:autoRedefine/>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autoRedefine/>
    <w:qFormat/>
    <w:uiPriority w:val="0"/>
    <w:pPr>
      <w:adjustRightInd w:val="0"/>
      <w:snapToGrid w:val="0"/>
      <w:jc w:val="center"/>
    </w:pPr>
    <w:rPr>
      <w:color w:val="000000"/>
      <w:kern w:val="0"/>
      <w:sz w:val="24"/>
      <w:szCs w:val="21"/>
    </w:rPr>
  </w:style>
  <w:style w:type="character" w:customStyle="1" w:styleId="747">
    <w:name w:val="表格文字 Char"/>
    <w:link w:val="748"/>
    <w:autoRedefine/>
    <w:qFormat/>
    <w:uiPriority w:val="0"/>
    <w:rPr>
      <w:kern w:val="2"/>
      <w:sz w:val="21"/>
      <w:szCs w:val="21"/>
    </w:rPr>
  </w:style>
  <w:style w:type="paragraph" w:customStyle="1" w:styleId="748">
    <w:name w:val="表格文字"/>
    <w:basedOn w:val="264"/>
    <w:next w:val="24"/>
    <w:link w:val="747"/>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autoRedefine/>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autoRedefine/>
    <w:qFormat/>
    <w:uiPriority w:val="0"/>
    <w:rPr>
      <w:b/>
      <w:kern w:val="2"/>
      <w:sz w:val="28"/>
      <w:szCs w:val="24"/>
    </w:rPr>
  </w:style>
  <w:style w:type="paragraph" w:customStyle="1" w:styleId="751">
    <w:name w:val="表格标题/图片标题/日期格式/图片居中"/>
    <w:link w:val="750"/>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autoRedefine/>
    <w:qFormat/>
    <w:uiPriority w:val="0"/>
    <w:rPr>
      <w:rFonts w:hint="eastAsia" w:ascii="宋体" w:hAnsi="宋体" w:eastAsia="宋体" w:cs="宋体"/>
      <w:b/>
      <w:color w:val="000000"/>
      <w:sz w:val="24"/>
      <w:szCs w:val="24"/>
      <w:u w:val="none"/>
    </w:rPr>
  </w:style>
  <w:style w:type="character" w:customStyle="1" w:styleId="753">
    <w:name w:val="font41"/>
    <w:autoRedefine/>
    <w:qFormat/>
    <w:uiPriority w:val="0"/>
    <w:rPr>
      <w:rFonts w:hint="default" w:ascii="Times New Roman" w:hAnsi="Times New Roman" w:cs="Times New Roman"/>
      <w:color w:val="000000"/>
      <w:sz w:val="20"/>
      <w:szCs w:val="20"/>
      <w:u w:val="none"/>
    </w:rPr>
  </w:style>
  <w:style w:type="character" w:customStyle="1" w:styleId="754">
    <w:name w:val="fontstyle21"/>
    <w:autoRedefine/>
    <w:qFormat/>
    <w:uiPriority w:val="0"/>
    <w:rPr>
      <w:rFonts w:ascii="宋体" w:hAnsi="宋体" w:eastAsia="宋体" w:cs="宋体"/>
      <w:color w:val="000000"/>
      <w:sz w:val="22"/>
      <w:szCs w:val="22"/>
    </w:rPr>
  </w:style>
  <w:style w:type="character" w:customStyle="1" w:styleId="755">
    <w:name w:val="font201"/>
    <w:autoRedefine/>
    <w:qFormat/>
    <w:uiPriority w:val="0"/>
    <w:rPr>
      <w:rFonts w:hint="eastAsia" w:ascii="宋体" w:hAnsi="宋体" w:eastAsia="宋体" w:cs="宋体"/>
      <w:b/>
      <w:color w:val="000000"/>
      <w:sz w:val="24"/>
      <w:szCs w:val="24"/>
      <w:u w:val="none"/>
    </w:rPr>
  </w:style>
  <w:style w:type="character" w:customStyle="1" w:styleId="756">
    <w:name w:val="font221"/>
    <w:autoRedefine/>
    <w:qFormat/>
    <w:uiPriority w:val="0"/>
    <w:rPr>
      <w:rFonts w:hint="eastAsia" w:ascii="宋体" w:hAnsi="宋体" w:eastAsia="宋体" w:cs="宋体"/>
      <w:color w:val="000000"/>
      <w:sz w:val="24"/>
      <w:szCs w:val="24"/>
      <w:u w:val="none"/>
    </w:rPr>
  </w:style>
  <w:style w:type="character" w:customStyle="1" w:styleId="757">
    <w:name w:val="尾注文本 Char1"/>
    <w:basedOn w:val="65"/>
    <w:link w:val="40"/>
    <w:autoRedefine/>
    <w:qFormat/>
    <w:uiPriority w:val="99"/>
    <w:rPr>
      <w:kern w:val="2"/>
      <w:sz w:val="21"/>
      <w:szCs w:val="24"/>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5"/>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autoRedefine/>
    <w:qFormat/>
    <w:uiPriority w:val="10"/>
    <w:rPr>
      <w:rFonts w:ascii="Cambria" w:hAnsi="Cambria" w:eastAsia="宋体" w:cs="宋体"/>
      <w:b/>
      <w:bCs/>
      <w:sz w:val="32"/>
      <w:szCs w:val="32"/>
    </w:rPr>
  </w:style>
  <w:style w:type="paragraph" w:customStyle="1" w:styleId="783">
    <w:name w:val="Char Char Char Char Char Char1"/>
    <w:basedOn w:val="1"/>
    <w:autoRedefine/>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3"/>
    <w:next w:val="3"/>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4"/>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5"/>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autoRedefine/>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6"/>
    <w:autoRedefine/>
    <w:qFormat/>
    <w:uiPriority w:val="0"/>
    <w:rPr>
      <w:color w:val="000000"/>
      <w:sz w:val="24"/>
      <w:szCs w:val="21"/>
    </w:rPr>
  </w:style>
  <w:style w:type="character" w:customStyle="1" w:styleId="809">
    <w:name w:val="批注主题 Char1"/>
    <w:basedOn w:val="111"/>
    <w:autoRedefine/>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6"/>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qFormat/>
    <w:uiPriority w:val="0"/>
    <w:tblPr>
      <w:tblCellMar>
        <w:top w:w="0" w:type="dxa"/>
        <w:left w:w="0" w:type="dxa"/>
        <w:bottom w:w="0" w:type="dxa"/>
        <w:right w:w="0" w:type="dxa"/>
      </w:tblCellMar>
    </w:tblPr>
  </w:style>
  <w:style w:type="paragraph" w:customStyle="1" w:styleId="816">
    <w:name w:val="列表段落1"/>
    <w:basedOn w:val="1"/>
    <w:autoRedefine/>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character" w:customStyle="1" w:styleId="818">
    <w:name w:val="标题 2 Char"/>
    <w:link w:val="4"/>
    <w:autoRedefine/>
    <w:qFormat/>
    <w:uiPriority w:val="0"/>
    <w:rPr>
      <w:rFonts w:ascii="仿宋_GB2312" w:hAnsi="仿宋" w:eastAsia="仿宋_GB2312"/>
      <w:b/>
      <w:bCs/>
      <w:sz w:val="32"/>
      <w:szCs w:val="32"/>
      <w:lang w:val="zh-CN"/>
    </w:rPr>
  </w:style>
  <w:style w:type="paragraph" w:customStyle="1" w:styleId="819">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20">
    <w:name w:val="font151"/>
    <w:basedOn w:val="65"/>
    <w:autoRedefine/>
    <w:qFormat/>
    <w:uiPriority w:val="0"/>
    <w:rPr>
      <w:rFonts w:hint="eastAsia" w:ascii="宋体" w:hAnsi="宋体" w:eastAsia="宋体" w:cs="宋体"/>
      <w:color w:val="FF0000"/>
      <w:sz w:val="22"/>
      <w:szCs w:val="22"/>
      <w:u w:val="none"/>
    </w:rPr>
  </w:style>
  <w:style w:type="character" w:customStyle="1" w:styleId="821">
    <w:name w:val="font91"/>
    <w:basedOn w:val="65"/>
    <w:autoRedefine/>
    <w:qFormat/>
    <w:uiPriority w:val="0"/>
    <w:rPr>
      <w:rFonts w:hint="eastAsia" w:ascii="宋体" w:hAnsi="宋体" w:eastAsia="宋体" w:cs="宋体"/>
      <w:color w:val="000000"/>
      <w:sz w:val="22"/>
      <w:szCs w:val="22"/>
      <w:u w:val="none"/>
    </w:rPr>
  </w:style>
  <w:style w:type="character" w:customStyle="1" w:styleId="822">
    <w:name w:val="font141"/>
    <w:basedOn w:val="65"/>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29FF3-A871-4341-A394-F51BC0A5ED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32130</Words>
  <Characters>33815</Characters>
  <Lines>276</Lines>
  <Paragraphs>77</Paragraphs>
  <TotalTime>14</TotalTime>
  <ScaleCrop>false</ScaleCrop>
  <LinksUpToDate>false</LinksUpToDate>
  <CharactersWithSpaces>35268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2024-05-24T03:24:00Z</dcterms:created>
  <dc:creator>LCMZX</dc:creator>
  <cp:lastModifiedBy>吴秉泽</cp:lastModifiedBy>
  <cp:lastPrinted>2019-02-13T08:52:00Z</cp:lastPrinted>
  <dcterms:modified xsi:type="dcterms:W3CDTF">2024-08-09T09:08:07Z</dcterms:modified>
  <dc:title>温州市政府采购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F635D1830EA1464BA57E98D216708CDA_13</vt:lpwstr>
  </property>
  <property fmtid="{D5CDD505-2E9C-101B-9397-08002B2CF9AE}" pid="4" name="commondata">
    <vt:lpwstr>eyJoZGlkIjoiZDRhNzcwYWMxNDc0YjRjN2UxZDk1NTg4ZWEwNTIzZDUifQ==</vt:lpwstr>
  </property>
</Properties>
</file>