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18" w:rsidRDefault="002172CC" w:rsidP="002172CC">
      <w:pPr>
        <w:widowControl/>
        <w:snapToGrid w:val="0"/>
        <w:spacing w:line="440" w:lineRule="exact"/>
        <w:rPr>
          <w:rFonts w:ascii="黑体" w:eastAsia="黑体" w:hAnsi="宋体" w:cs="黑体"/>
          <w:bCs/>
          <w:sz w:val="32"/>
          <w:szCs w:val="32"/>
          <w:lang w:bidi="ar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附件</w:t>
      </w:r>
      <w:r w:rsidR="00AC2318">
        <w:rPr>
          <w:rFonts w:ascii="黑体" w:eastAsia="黑体" w:hAnsi="宋体" w:cs="黑体" w:hint="eastAsia"/>
          <w:bCs/>
          <w:sz w:val="32"/>
          <w:szCs w:val="32"/>
          <w:lang w:bidi="ar"/>
        </w:rPr>
        <w:t>二</w:t>
      </w:r>
    </w:p>
    <w:p w:rsidR="00143F85" w:rsidRDefault="00AC2318" w:rsidP="00AC2318">
      <w:pPr>
        <w:widowControl/>
        <w:snapToGrid w:val="0"/>
        <w:spacing w:line="440" w:lineRule="exact"/>
        <w:jc w:val="center"/>
        <w:rPr>
          <w:rStyle w:val="itwtqi23ioopmk3o6ert1"/>
          <w:rFonts w:eastAsia="方正小标宋简体"/>
          <w:sz w:val="44"/>
          <w:szCs w:val="22"/>
        </w:rPr>
      </w:pPr>
      <w:r w:rsidRPr="00AC2318">
        <w:rPr>
          <w:rStyle w:val="itwtqi23ioopmk3o6ert1"/>
          <w:rFonts w:eastAsia="方正小标宋简体" w:hint="eastAsia"/>
          <w:sz w:val="44"/>
          <w:szCs w:val="22"/>
        </w:rPr>
        <w:t>温州肯恩大学</w:t>
      </w:r>
      <w:r w:rsidR="000040B6" w:rsidRPr="00AC2318">
        <w:rPr>
          <w:rStyle w:val="itwtqi23ioopmk3o6ert1"/>
          <w:rFonts w:eastAsia="方正小标宋简体" w:hint="eastAsia"/>
          <w:sz w:val="44"/>
          <w:szCs w:val="22"/>
        </w:rPr>
        <w:t>建筑物概况</w:t>
      </w:r>
    </w:p>
    <w:p w:rsidR="00AC2318" w:rsidRPr="00AC2318" w:rsidRDefault="00AC2318" w:rsidP="00AC2318">
      <w:pPr>
        <w:pStyle w:val="a0"/>
        <w:rPr>
          <w:rFonts w:hint="eastAsia"/>
        </w:rPr>
      </w:pP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一、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教学楼4幢，面积：29111平方米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二、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培训楼1幢，面积：11135平方米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三、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中餐厅2层，面积：4238平方米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四、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葛和凯楼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1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幢，面积：16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188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五、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商学院1幢，面积：13302平方米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六、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外教公寓，面积：6380平方米（计容面积架空层面积115）合计6696平方米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七、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综合球馆1个，面积：4382平方米；田径场1个，面积：2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3944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八、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学生公寓，面积：梅兰竹菊4幢（45820平方米）、榕（14047平方米）、枫（9916平方米）、杏（21733平方米）、柑（8809平方米），学生餐厅3层（8369平方米）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九、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后勤综合楼主楼1幢，附属楼1幢，面积：1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5742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平方米，预计2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022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年9月交付使用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十、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学生学习与活动中心1幢，面积：2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4498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平方米；预计2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022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年1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0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月交付使用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十一、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留学生楼1幢，面积：1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4500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平方米；预计2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023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年9月交付使用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AC2318" w:rsidP="002172C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十二、</w:t>
      </w:r>
      <w:bookmarkStart w:id="0" w:name="_GoBack"/>
      <w:bookmarkEnd w:id="0"/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理工楼1幢，面积：1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9402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平方米；预计2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023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年1</w:t>
      </w:r>
      <w:r w:rsidR="000040B6" w:rsidRPr="002172CC">
        <w:rPr>
          <w:rFonts w:ascii="仿宋_GB2312" w:eastAsia="仿宋_GB2312" w:hAnsi="仿宋" w:cs="宋体"/>
          <w:color w:val="000000"/>
          <w:sz w:val="32"/>
          <w:szCs w:val="32"/>
        </w:rPr>
        <w:t>2</w:t>
      </w:r>
      <w:r w:rsidR="000040B6" w:rsidRPr="002172CC">
        <w:rPr>
          <w:rFonts w:ascii="仿宋_GB2312" w:eastAsia="仿宋_GB2312" w:hAnsi="仿宋" w:cs="宋体" w:hint="eastAsia"/>
          <w:color w:val="000000"/>
          <w:sz w:val="32"/>
          <w:szCs w:val="32"/>
        </w:rPr>
        <w:t>月交付使用</w:t>
      </w:r>
      <w:r w:rsidR="002172CC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E95B5C" w:rsidRPr="002172CC" w:rsidRDefault="00E95B5C" w:rsidP="002172CC">
      <w:pPr>
        <w:pStyle w:val="a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E95B5C" w:rsidRDefault="00E95B5C">
      <w:pPr>
        <w:pStyle w:val="a0"/>
        <w:rPr>
          <w:sz w:val="28"/>
          <w:szCs w:val="36"/>
        </w:rPr>
      </w:pPr>
    </w:p>
    <w:sectPr w:rsidR="00E9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D4" w:rsidRDefault="00DD45D4" w:rsidP="002172CC">
      <w:r>
        <w:separator/>
      </w:r>
    </w:p>
  </w:endnote>
  <w:endnote w:type="continuationSeparator" w:id="0">
    <w:p w:rsidR="00DD45D4" w:rsidRDefault="00DD45D4" w:rsidP="002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D4" w:rsidRDefault="00DD45D4" w:rsidP="002172CC">
      <w:r>
        <w:separator/>
      </w:r>
    </w:p>
  </w:footnote>
  <w:footnote w:type="continuationSeparator" w:id="0">
    <w:p w:rsidR="00DD45D4" w:rsidRDefault="00DD45D4" w:rsidP="0021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zkxYWVmM2JlZTg3ZjYzOWM2YTA5NTM1MGM0OTEifQ=="/>
  </w:docVars>
  <w:rsids>
    <w:rsidRoot w:val="4F463610"/>
    <w:rsid w:val="000040B6"/>
    <w:rsid w:val="00143F85"/>
    <w:rsid w:val="002172CC"/>
    <w:rsid w:val="00AC2318"/>
    <w:rsid w:val="00DD45D4"/>
    <w:rsid w:val="00E95B5C"/>
    <w:rsid w:val="4F463610"/>
    <w:rsid w:val="7C8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27C3F"/>
  <w15:docId w15:val="{B663CD47-60C1-4654-B7E2-EC45323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pPr>
      <w:spacing w:after="120"/>
    </w:pPr>
  </w:style>
  <w:style w:type="paragraph" w:styleId="a4">
    <w:name w:val="header"/>
    <w:basedOn w:val="a"/>
    <w:link w:val="a5"/>
    <w:rsid w:val="0021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2172C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1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2172C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itwtqi23ioopmk3o6ert1">
    <w:name w:val="itwtqi_23ioopmk3o6ert1"/>
    <w:qFormat/>
    <w:rsid w:val="00A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wku</cp:lastModifiedBy>
  <cp:revision>4</cp:revision>
  <dcterms:created xsi:type="dcterms:W3CDTF">2022-09-12T10:32:00Z</dcterms:created>
  <dcterms:modified xsi:type="dcterms:W3CDTF">2022-10-08T05:41:00Z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325DCCA965F44425AE050DD868C55610</vt:lpwstr>
  </property>
</Properties>
</file>